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WOS 2002 — Berechnung der Fristen</w:t>
      </w:r>
    </w:p>
    <w:p>
      <w:r>
        <w:rPr>
          <w:color w:val="555555"/>
          <w:sz w:val="18"/>
        </w:rPr>
        <w:t xml:space="preserve">Wahlordnung Seeschifffahrt</w:t>
      </w:r>
    </w:p>
    <w:p>
      <w:r>
        <w:rPr>
          <w:color w:val="555555"/>
          <w:sz w:val="18"/>
        </w:rPr>
        <w:t xml:space="preserve">Stand: 10.06.2019 (konsolidierte Textfassung, kein amtliches Inkrafttretensdatum)</w:t>
      </w:r>
    </w:p>
    <w:p>
      <w:r>
        <w:t xml:space="preserve">Soweit nach dieser Verordnung eine Frist nach Stunden bemessen ist, beginnt sie mit der nächsten vollen Stunde, die auf das maßgebende Ereignis folgt. Im Übrigen gelten für die Berechnung der in dieser Verordnung festgelegten Fristen die §§ 186 bis 193 des Bürgerlichen Gesetzbuchs.</w:t>
      </w:r>
    </w:p>
    <w:p>
      <w:r>
        <w:rPr>
          <w:color w:val="555555"/>
          <w:sz w:val="17"/>
        </w:rPr>
        <w:t xml:space="preserve">Zitiervorschlag: § 59 WOS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https://recht.nulegal.eu/gesetze/WOS%202002/59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