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WOS 2002 — Wahl mehrerer Mitglieder des Seebetriebsrats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19 bis 26 gelten für die Wahl der Mitglieder des Seebetriebsrats mit folgender Maßgabe entsprechend:</w:t>
      </w:r>
    </w:p>
    <w:p>
      <w:pPr>
        <w:ind w:left="420"/>
      </w:pPr>
      <w:r>
        <w:t xml:space="preserve">1. An die Stelle der in § 20 Satz 1 genannten Fristen tritt die für die Einreichung von Wahlvorschlägen für die Wahl des Seebetriebsrats festgesetzte Frist (§ 40).</w:t>
      </w:r>
    </w:p>
    <w:p>
      <w:pPr>
        <w:ind w:left="420"/>
      </w:pPr>
      <w:r>
        <w:t xml:space="preserve">2. § 20 Satz 2 findet keine Anwendung.</w:t>
      </w:r>
    </w:p>
    <w:p>
      <w:pPr>
        <w:ind w:left="420"/>
      </w:pPr>
      <w:r>
        <w:t xml:space="preserve">3. Das Ergebnis der Auslosung (§ 20 Satz 1) ist in die Sitzungsniederschrift des Wahlvorstands aufzunehmen.</w:t>
      </w:r>
    </w:p>
    <w:p>
      <w:r>
        <w:rPr>
          <w:color w:val="555555"/>
          <w:sz w:val="17"/>
        </w:rPr>
        <w:t xml:space="preserve">Zitiervorschlag: § 57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