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WOS 2002 — Öffentliche Stimmauszählung</w:t>
      </w:r>
    </w:p>
    <w:p>
      <w:r>
        <w:rPr>
          <w:color w:val="555555"/>
          <w:sz w:val="18"/>
        </w:rPr>
        <w:t xml:space="preserve">Wahlordnung Seeschifffahrt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Unverzüglich nach Einwurf der Wahlumschläge in die Wahlurnen (§ 51 Abs. 2) nimmt der Wahlvorstand öffentlich die Auszählung der Stimmen vor und gibt das Wahlergebnis bekannt.</w:t>
      </w:r>
    </w:p>
    <w:p>
      <w:r>
        <w:rPr>
          <w:color w:val="555555"/>
          <w:sz w:val="17"/>
        </w:rPr>
        <w:t xml:space="preserve">Zitiervorschlag: § 52 WOS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https://recht.nulegal.eu/gesetze/WOS%202002/52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