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WOS 2002 — Frist für die Stimmabgabe</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Die Wahlbriefe müssen vor Ablauf von fünf Wochen nach ihrer Versendung an die Schiffe (§ 48 Abs. 2) beim Wahlvorstand eingehen.</w:t>
      </w:r>
    </w:p>
    <w:p>
      <w:r>
        <w:t xml:space="preserve">(2) Ist zu besorgen, dass die in Absatz 1 genannte Frist für eine ordnungsgemäße Durchführung der Stimmabgabe nicht ausreicht, so hat der Wahlvorstand nach Beratung mit dem Arbeitgeber eine längere Frist, höchstens jedoch eine Frist von zwölf Wochen, festzusetzen.</w:t>
      </w:r>
    </w:p>
    <w:p>
      <w:r>
        <w:t xml:space="preserve">(3) Ergibt sich nach Versendung der Bekanntmachungen zur Stimmabgabe die Besorgnis, dass die für die Stimmabgabe festgesetzte Frist (Absätze 1 und 2) nicht ausreicht, so hat der Wahlvorstand nach Beratung mit dem Arbeitgeber die Frist zu verlängern. Sie darf jedoch insgesamt zwölf Wochen nicht überschreiten. Die Verlängerung der Frist ist unverzüglich in gleicher Weise wie das Wahlausschreiben bekannt zu machen.</w:t>
      </w:r>
    </w:p>
    <w:p>
      <w:r>
        <w:rPr>
          <w:color w:val="555555"/>
          <w:sz w:val="17"/>
        </w:rPr>
        <w:t xml:space="preserve">Zitiervorschlag: § 49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