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WOS 2002 — Vorbereitung der Stimmabgabe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hat unverzüglich nach Ordnung der Wahlvorschläge (§§ 20, 28 Abs. 2, §§ 57, 58) folgende, zur Stimmabgabe erforderliche Unterlagen herzustellen:</w:t>
      </w:r>
    </w:p>
    <w:p>
      <w:pPr>
        <w:ind w:left="420"/>
      </w:pPr>
      <w:r>
        <w:t xml:space="preserve">1. Stimmzettel und Wahlumschläge;</w:t>
      </w:r>
    </w:p>
    <w:p>
      <w:pPr>
        <w:ind w:left="420"/>
      </w:pPr>
      <w:r>
        <w:t xml:space="preserve">2. vorgedruckte, von der Wählerin oder dem Wähler zu unterzeichnende Erklärungen, in denen diese versichern, dass sie den Stimmzettel persönlich gekennzeichnet haben, sowie</w:t>
      </w:r>
    </w:p>
    <w:p>
      <w:pPr>
        <w:ind w:left="420"/>
      </w:pPr>
      <w:r>
        <w:t xml:space="preserve">3. Wahlbriefumschläge, die die Anschrift des Wahlvorstands und den Vermerk "Schriftliche Stimmabgabe" tragen.</w:t>
      </w:r>
    </w:p>
    <w:p>
      <w:r>
        <w:t xml:space="preserve">Die Stimmzettel müssen alle dieselbe Größe, Farbe, Beschaffenheit und Beschriftung haben; dasselbe gilt für die Wahlumschläge.</w:t>
      </w:r>
    </w:p>
    <w:p>
      <w:r>
        <w:rPr>
          <w:color w:val="555555"/>
          <w:sz w:val="17"/>
        </w:rPr>
        <w:t xml:space="preserve">Zitiervorschlag: § 47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