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WOS 2002 — Ungültige Wahlvorschläge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Ungültig sind Wahlvorschläge,</w:t>
      </w:r>
    </w:p>
    <w:p>
      <w:pPr>
        <w:ind w:left="420"/>
      </w:pPr>
      <w:r>
        <w:t xml:space="preserve">1. die nicht fristgerecht eingereicht worden sind,</w:t>
      </w:r>
    </w:p>
    <w:p>
      <w:pPr>
        <w:ind w:left="420"/>
      </w:pPr>
      <w:r>
        <w:t xml:space="preserve">2. auf denen die Bewerberinnen oder Bewerber nicht in erkennbarer Reihenfolge aufgeführt sind,</w:t>
      </w:r>
    </w:p>
    <w:p>
      <w:pPr>
        <w:ind w:left="420"/>
      </w:pPr>
      <w:r>
        <w:t xml:space="preserve">3. die bei Einreichung nicht die erforderliche Mindestzahl gültiger Unterschriften (§ 38 Abs. 2 Nr. 7) aufweisen. Die Rücknahme von Unterschriften auf einem eingereichten Wahlvorschlag beeinträchtigt dessen Gültigkeit nicht.</w:t>
      </w:r>
    </w:p>
    <w:p>
      <w:r>
        <w:t xml:space="preserve">(2) Ungültig sind auch Wahlvorschläge,</w:t>
      </w:r>
    </w:p>
    <w:p>
      <w:pPr>
        <w:ind w:left="420"/>
      </w:pPr>
      <w:r>
        <w:t xml:space="preserve">1. auf denen die Bewerberinnen oder Bewerber nicht in der in § 39 Abs. 2 bestimmten Weise bezeichnet sind,</w:t>
      </w:r>
    </w:p>
    <w:p>
      <w:pPr>
        <w:ind w:left="420"/>
      </w:pPr>
      <w:r>
        <w:t xml:space="preserve">2. wenn die schriftliche Erklärung der Bewerberinnen oder Bewerber nach § 41 nicht vorliegt, falls diese Mängel trotz Beanstandung nicht vor Ablauf der für die Einreichung von Wahlvorschlägen festgesetzten Frist beseitigt werden.</w:t>
      </w:r>
    </w:p>
    <w:p>
      <w:r>
        <w:rPr>
          <w:color w:val="555555"/>
          <w:sz w:val="17"/>
        </w:rPr>
        <w:t xml:space="preserve">Zitiervorschlag: § 44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