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WOS 2002 — Behandlung der Wahlvorschläge durch den Wahlvorstand</w:t>
      </w:r>
    </w:p>
    <w:p>
      <w:r>
        <w:rPr>
          <w:color w:val="555555"/>
          <w:sz w:val="18"/>
        </w:rPr>
        <w:t xml:space="preserve">Wahlordnung Seeschifffahrt</w:t>
      </w:r>
    </w:p>
    <w:p>
      <w:r>
        <w:rPr>
          <w:color w:val="555555"/>
          <w:sz w:val="18"/>
        </w:rPr>
        <w:t xml:space="preserve">Stand: 10.06.2019 (konsolidierte Textfassung, kein amtliches Inkrafttretensdatum)</w:t>
      </w:r>
    </w:p>
    <w:p>
      <w:r>
        <w:t xml:space="preserve">(1) Der Wahlvorstand hat den Zeitpunkt des Eingangs eines Wahlvorschlags unverzüglich in einer Niederschrift zu vermerken und der Listenvertreterin oder dem Listenvertreter schriftlich zu bestätigen.</w:t>
      </w:r>
    </w:p>
    <w:p>
      <w:r>
        <w:t xml:space="preserve">(2) Der Wahlvorstand hat Wahlvorschläge, die nicht mit einem Kennwort versehen sind, mit Familiennamen und Vornamen der oder des an erster Stelle Benannten zu bezeichnen. Er hat die Wahlvorschläge unverzüglich zu prüfen und bei Ungültigkeit oder Beanstandungen die Listenvertreterin oder den Listenvertreter unverzüglich schriftlich unter Angabe der Gründe zu unterrichten.</w:t>
      </w:r>
    </w:p>
    <w:p>
      <w:r>
        <w:rPr>
          <w:color w:val="555555"/>
          <w:sz w:val="17"/>
        </w:rPr>
        <w:t xml:space="preserve">Zitiervorschlag: § 43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