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WOS 2002 — Wahlausschreiben</w:t>
      </w:r>
    </w:p>
    <w:p>
      <w:r>
        <w:rPr>
          <w:color w:val="555555"/>
          <w:sz w:val="18"/>
        </w:rPr>
        <w:t xml:space="preserve">Wahlordnung Seeschifffahrt</w:t>
      </w:r>
    </w:p>
    <w:p>
      <w:r>
        <w:rPr>
          <w:color w:val="555555"/>
          <w:sz w:val="18"/>
        </w:rPr>
        <w:t xml:space="preserve">Stand: 15.10.2021 (konsolidierte Textfassung, kein amtliches Inkrafttretensdatum)</w:t>
      </w:r>
    </w:p>
    <w:p>
      <w:r>
        <w:t xml:space="preserve">(1) Unverzüglich nach seiner Bestellung erlässt der Wahlvorstand ein Wahlausschreiben, das von der oder dem Vorsitzenden und von mindestens einem weiteren stimmberechtigten Mitglied des Wahlvorstands zu unterzeichnen ist. Mit Erlass des Wahlausschreibens ist die Wahl des Seebetriebsrats eingeleitet.</w:t>
      </w:r>
    </w:p>
    <w:p>
      <w:r>
        <w:t xml:space="preserve">(2) Das Wahlausschreiben muss folgende Angaben enthalten:</w:t>
      </w:r>
    </w:p>
    <w:p>
      <w:pPr>
        <w:ind w:left="420"/>
      </w:pPr>
      <w:r>
        <w:t xml:space="preserve">1. das Datum seines Erlasses;</w:t>
      </w:r>
    </w:p>
    <w:p>
      <w:pPr>
        <w:ind w:left="420"/>
      </w:pPr>
      <w:r>
        <w:t xml:space="preserve">2. den Ort im Landbetrieb, an dem die Wählerliste, die Wählbarkeitsliste und diese Verordnung ausliegen, sowie im Fall der Bekanntmachung in elektronischer Weise (§ 35 Abs. 1 Satz 4 und 5) wo und wie von der Wählerliste, der Wählbarkeitsliste und der Verordnung Kenntnis genommen werden kann;</w:t>
      </w:r>
    </w:p>
    <w:p>
      <w:pPr>
        <w:ind w:left="420"/>
      </w:pPr>
      <w:r>
        <w:t xml:space="preserve">3. dass die Bordvertretung oder, wenn eine solche nicht besteht, der Kapitän eines jeden Schiffes den Ort, an dem die Wählerliste, die Wählbarkeitsliste und diese Verordnung an Bord ausliegen, bestimmt und in gleicher Weise wie das Wahlausschreiben bekannt macht;</w:t>
      </w:r>
    </w:p>
    <w:p>
      <w:pPr>
        <w:ind w:left="420"/>
      </w:pPr>
      <w:r>
        <w:t xml:space="preserve">4. dass wahlberechtigt nur ist, wer in die Wählerliste eingetragen ist, und dass wählbar nur ist, wer</w:t>
      </w:r>
    </w:p>
    <w:p>
      <w:pPr>
        <w:ind w:left="780"/>
      </w:pPr>
      <w:r>
        <w:t xml:space="preserve">a) im Fall des § 116 Abs. 2 Nr. 2 Buchstabe a des Gesetzes in die Wählerliste und</w:t>
      </w:r>
    </w:p>
    <w:p>
      <w:pPr>
        <w:ind w:left="780"/>
      </w:pPr>
      <w:r>
        <w:t xml:space="preserve">b) im Fall des § 116 Abs. 2 Nr. 2 Buchstabe b des Gesetzes in die Wählbarkeitsliste eingetragen ist, und dass Einsprüche gegen diese Listen nur bis zu dem vom Wahlvorstand für die Einreichung von Wahlvorschlägen festgesetzten Zeitpunkt schriftlich beim Wahlvorstand eingelegt werden können; der Zeitpunkt des Ablaufs der Frist ist anzugeben verbunden mit einem Hinweis auf die Anfechtungsausschlussgründe nach § 19 Absatz 3 Satz 1 und 2 des Gesetzes;</w:t>
      </w:r>
    </w:p>
    <w:p>
      <w:pPr>
        <w:ind w:left="420"/>
      </w:pPr>
      <w:r>
        <w:t xml:space="preserve">5. den Anteil der Geschlechter und den Hinweis, dass das Geschlecht in der Minderheit im Seebetriebsrat mindestens entsprechend seinem zahlenmäßigen Verhältnis vertreten sein muss, wenn der Seebetriebsrat aus mindestens drei Mitgliedern besteht (§ 115 Abs. 2 i.V.m. § 15 Abs. 2 des Gesetzes);</w:t>
      </w:r>
    </w:p>
    <w:p>
      <w:pPr>
        <w:ind w:left="420"/>
      </w:pPr>
      <w:r>
        <w:t xml:space="preserve">6. die Zahl der zu wählenden Mitglieder des Seebetriebsrats (§ 116 Abs. 2 Nr. 3, § 11 des Gesetzes) sowie die auf das Geschlecht in der Minderheit entfallenden Mindestsitze im Seebetriebsrat (§ 15 Abs. 2 des Gesetzes);</w:t>
      </w:r>
    </w:p>
    <w:p>
      <w:pPr>
        <w:ind w:left="420"/>
      </w:pPr>
      <w:r>
        <w:t xml:space="preserve">7. dass ein Wahlvorschlag der Wahlberechtigten von mindestens drei wahlberechtigten Besatzungsmitgliedern oder, wenn nur in der Regel bis zu zwanzig Besatzungsmitglieder wahlberechtigt sind, von mindestens zwei wahlberechtigten Besatzungsmitgliedern unterzeichnet sein muss (§ 14 Abs. 4 Satz 1 zweiter Halbsatz, § 116 Abs. 2 Nr. 4 des Gesetzes);</w:t>
      </w:r>
    </w:p>
    <w:p>
      <w:pPr>
        <w:ind w:left="420"/>
      </w:pPr>
      <w:r>
        <w:t xml:space="preserve">8. dass der Wahlvorschlag einer unter den Besatzungsmitgliedern des Seeschifffahrtsunternehmens vertretenen Gewerkschaft von zwei Beauftragten unterzeichnet sein muss;</w:t>
      </w:r>
    </w:p>
    <w:p>
      <w:pPr>
        <w:ind w:left="420"/>
      </w:pPr>
      <w:r>
        <w:t xml:space="preserve">9. dass jeder Wahlberechtigte nur einen Wahlvorschlag unterzeichnen darf und dass andernfalls sämtliche von ihm geleisteten Unterschriften ungültig sind;</w:t>
      </w:r>
    </w:p>
    <w:p>
      <w:pPr>
        <w:ind w:left="420"/>
      </w:pPr>
      <w:r>
        <w:t xml:space="preserve">10. dass die Wahlvorschläge in Form von Vorschlagslisten einzureichen sind, wenn mehrere Mitglieder des Seebetriebsrats zu wählen sind;</w:t>
      </w:r>
    </w:p>
    <w:p>
      <w:pPr>
        <w:ind w:left="420"/>
      </w:pPr>
      <w:r>
        <w:t xml:space="preserve">11. dass ein Wahlvorschlag mindestens doppelt so viele Bewerberinnen oder Bewerber aufweisen soll, wie Mitglieder des Seebetriebsrats zu wählen sind;</w:t>
      </w:r>
    </w:p>
    <w:p>
      <w:pPr>
        <w:ind w:left="420"/>
      </w:pPr>
      <w:r>
        <w:t xml:space="preserve">12. dass Wahlvorschläge bis zu dem vom Wahlvorstand hierfür festgesetzten Zeitpunkt (§ 40) beim Wahlvorstand eingegangen sein müssen; der Zeitpunkt des Ablaufs der Frist ist anzugeben;</w:t>
      </w:r>
    </w:p>
    <w:p>
      <w:pPr>
        <w:ind w:left="420"/>
      </w:pPr>
      <w:r>
        <w:t xml:space="preserve">13. dass die Stimmabgabe an Wahlvorschläge gebunden ist und dass nur solche Wahlvorschläge berücksichtigt werden, die fristgerecht beim Wahlvorstand eingegangen sind;</w:t>
      </w:r>
    </w:p>
    <w:p>
      <w:pPr>
        <w:ind w:left="420"/>
      </w:pPr>
      <w:r>
        <w:t xml:space="preserve">14. dass die Mitglieder des Seebetriebsrats durch Briefwahl gewählt werden;</w:t>
      </w:r>
    </w:p>
    <w:p>
      <w:pPr>
        <w:ind w:left="420"/>
      </w:pPr>
      <w:r>
        <w:t xml:space="preserve">15. dass die Wahlvorschläge und der Zeitpunkt, bis zu dem die Wahlbriefe beim Wahlvorstand eingegangen sein müssen, sowie Ort, Tag und Zeit der öffentlichen Stimmauszählung in gleicher Weise wie das Wahlausschreiben durch besonderen Aushang bekannt gemacht werden;</w:t>
      </w:r>
    </w:p>
    <w:p>
      <w:pPr>
        <w:ind w:left="420"/>
      </w:pPr>
      <w:r>
        <w:t xml:space="preserve">16. die Namen der Mitglieder des Wahlvorstands und seine Betriebsanschrift.</w:t>
      </w:r>
    </w:p>
    <w:p>
      <w:r>
        <w:t xml:space="preserve">(3) Ein Abdruck des Wahlausschreibens ist unverzüglich nach seinem Erlass vom Wahlvorstand den einzelnen Schiffen gleichzeitig zu übersenden; dies kann auch mittels der vorhandenen Informations- und Kommunikationstechnik erfolgen. Der Tag der Versendung ist in einer Niederschrift zu vermerken.</w:t>
      </w:r>
    </w:p>
    <w:p>
      <w:r>
        <w:t xml:space="preserve">(4) Ein Abdruck des Wahlausschreibens ist</w:t>
      </w:r>
    </w:p>
    <w:p>
      <w:pPr>
        <w:ind w:left="420"/>
      </w:pPr>
      <w:r>
        <w:t xml:space="preserve">1. an Bord eines jeden Schiffes unverzüglich von der Bordvertretung oder, wenn eine solche nicht besteht, vom Kapitän,</w:t>
      </w:r>
    </w:p>
    <w:p>
      <w:pPr>
        <w:ind w:left="420"/>
      </w:pPr>
      <w:r>
        <w:t xml:space="preserve">2. im Landbetrieb vom Zeitpunkt seines Erlasses an durch den Wahlvorstand</w:t>
      </w:r>
    </w:p>
    <w:p>
      <w:r>
        <w:t xml:space="preserve">bis zum Abschluss der Stimmabgabe an einer oder mehreren geeigneten, den Wahlberechtigten zugänglichen Stellen auszuhängen und in gut lesbarem Zustand zu erhalten. Ergänzend kann das Wahlausschreiben mittels der vorhandenen Informations- und Kommunikationstechnik bekannt gemacht werden. § 35 Abs. 1 Satz 5 gilt entsprechend. Die Bordvertretung oder, wenn eine solche nicht besteht, der Kapitän hat den Tag des Aushangs auf dem Wahlausschreiben zu vermerken und den Ort, an dem die Wählerliste, die Wählbarkeitsliste und diese Verordnung an Bord zur Einsichtnahme ausliegen, in gleicher Weise wie das Wahlausschreiben bekannt zu machen. Der Eingang des Wahlausschreibens, der Wählerliste und der Wählbarkeitsliste auf dem Schiff soll dem Wahlvorstand unverzüglich bestätigt werden.</w:t>
      </w:r>
    </w:p>
    <w:p>
      <w:r>
        <w:t xml:space="preserve">(5) Der Wahlvorstand hat Besatzungsmitgliedern, von denen ihm bekannt ist, dass sie sich nicht an Bord eines Schiffes befinden, einen Abdruck des Wahlausschreibens sowie auf Verlangen einen Abdruck der Wählerliste und der Wählbarkeitsliste zu übersenden. Die Übersendung ist in der Wählerliste zu vermerken.</w:t>
      </w:r>
    </w:p>
    <w:p>
      <w:r>
        <w:rPr>
          <w:color w:val="555555"/>
          <w:sz w:val="17"/>
        </w:rPr>
        <w:t xml:space="preserve">Zitiervorschlag: § 38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