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WOS 2002 — Einsprüche gegen die Wählerliste oder die Wählbarkeitsliste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Einsprüche gegen die Richtigkeit der Wählerliste oder der Wählbarkeitsliste können mit Wirksamkeit für die Wahl des Seebetriebsrats nur vor Ablauf der für die Einreichung von Wahlvorschlägen festgesetzten Frist (§ 40) schriftlich beim Wahlvorstand eingelegt werden.</w:t>
      </w:r>
    </w:p>
    <w:p>
      <w:r>
        <w:t xml:space="preserve">(2) Über Einsprüche nach Absatz 1 hat der Wahlvorstand unverzüglich zu entscheiden. Wird ein Einspruch für begründet erachtet, so ist die Liste zu berichtigen. Die Entscheidung des Wahlvorstands ist der Arbeitnehmerin oder dem Arbeitnehmer, die oder der den Einspruch eingelegt hat, unverzüglich schriftlich mitzuteilen.</w:t>
      </w:r>
    </w:p>
    <w:p>
      <w:r>
        <w:t xml:space="preserve">(3) Die Wählerliste und die Wählbarkeitsliste können nach Ablauf der Einspruchsfrist nur bei Schreibfehlern, offenbaren Unrichtigkeiten und in Erledigung rechtzeitig eingelegter Einsprüche bis zum Abschluss der Stimmabgabe berichtigt werden; § 33 Abs. 2 bleibt unberührt.</w:t>
      </w:r>
    </w:p>
    <w:p>
      <w:r>
        <w:rPr>
          <w:color w:val="555555"/>
          <w:sz w:val="17"/>
        </w:rPr>
        <w:t xml:space="preserve">Zitiervorschlag: § 36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