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WOS 2002 — Bekanntmachung</w:t>
      </w:r>
    </w:p>
    <w:p>
      <w:r>
        <w:rPr>
          <w:color w:val="555555"/>
          <w:sz w:val="18"/>
        </w:rPr>
        <w:t xml:space="preserve">Wahlordnung Seeschifffahrt</w:t>
      </w:r>
    </w:p>
    <w:p>
      <w:r>
        <w:rPr>
          <w:color w:val="555555"/>
          <w:sz w:val="18"/>
        </w:rPr>
        <w:t xml:space="preserve">Stand: 10.06.2019 (konsolidierte Textfassung, kein amtliches Inkrafttretensdatum)</w:t>
      </w:r>
    </w:p>
    <w:p>
      <w:r>
        <w:t xml:space="preserve">(1) Je ein Abdruck der Wählerliste, der Wählbarkeitsliste und dieser Verordnung sind jedem zum Seebetrieb gehörigen Schiff zusammen mit dem Wahlausschreiben zu übersenden und von der Bordvertretung oder, wenn eine solche nicht besteht, vom Kapitän unverzüglich bis zum Abschluss der Stimmabgabe an geeigneter Stelle an Bord zur Einsichtnahme auszulegen. Der Wahlvorstand hat außerdem je einen Abdruck der Wählerliste, der Wählbarkeitsliste und einen Abdruck dieser Verordnung vom Tage der Einleitung der Wahl bis zum Abschluss der Stimmabgabe an geeigneter, den Wahlberechtigten zugänglicher Stelle des Landbetriebs des Seeschifffahrtsunternehmens zur Einsichtnahme auszulegen. Die Abdrucke der Wählerliste und der Wählbarkeitsliste sollen die Geburtsdaten der Wahlberechtigten und der wählbaren Arbeitnehmerinnen und Arbeitnehmer nicht enthalten. Ergänzend können die Abdrucke der Wählerliste, der Wählbarkeitsliste sowie der Verordnung mittels der vorhandenen Informations- und Kommunikationstechnik bekannt gemacht werden. Die Bekanntmachung ausschließlich in elektronischer Weise ist nur zulässig, wenn alle Wahlberechtigten von der Bekanntmachung Kenntnis erlangen können und Vorkehrungen getroffen werden, dass Änderungen der Bekanntmachung nur vom Wahlvorstand vorgenommen werden können.</w:t>
      </w:r>
    </w:p>
    <w:p>
      <w:r>
        <w:t xml:space="preserve">(2) Der Wahlvorstand soll dafür sorgen, dass ausländische Arbeitnehmerinnen und Arbeitnehmer, die der deutschen Sprache nicht mächtig sind, rechtzeitig über die Wahl des Seebetriebsrats, insbesondere über die Bedeutung der Wählerliste und der Wählbarkeitsliste, über die Aufstellung von Wahlvorschlägen und über die Stimmabgabe in geeigneter Weise unterrichtet werden.</w:t>
      </w:r>
    </w:p>
    <w:p>
      <w:r>
        <w:rPr>
          <w:color w:val="555555"/>
          <w:sz w:val="17"/>
        </w:rPr>
        <w:t xml:space="preserve">Zitiervorschlag: § 35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