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WOS 2002 — Wählbarkeitsliste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zum Seebetriebsrat lediglich im Landbetrieb des Seeschifffahrtsunternehmens beschäftigte Arbeitnehmerinnen und Arbeitnehmer wählbar (§ 116 Abs. 2 Nr. 2 Buchstabe b des Gesetzes), so hat der Wahlvorstand eine Liste dieser wählbaren Arbeitnehmerinnen und Arbeitnehmer (Wählbarkeitsliste), getrennt nach den Geschlechtern, aufzustellen. § 33 Abs. 1 Satz 4 gilt entsprechend.</w:t>
      </w:r>
    </w:p>
    <w:p>
      <w:r>
        <w:t xml:space="preserve">(2) Wählbar sind nur Arbeitnehmerinnen und Arbeitnehmer, die im Fall des § 116 Abs. 2 Nr. 2 Buchstabe a des Gesetzes in die Wählerliste und im Fall des § 116 Abs. 2 Nr. 2 Buchstabe b des Gesetzes in die Wählbarkeitsliste eingetragen sind.</w:t>
      </w:r>
    </w:p>
    <w:p>
      <w:r>
        <w:rPr>
          <w:color w:val="555555"/>
          <w:sz w:val="17"/>
        </w:rPr>
        <w:t xml:space="preserve">Zitiervorschlag: § 34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