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WOS 2002 — Wahlvorstand</w:t>
      </w:r>
    </w:p>
    <w:p>
      <w:r>
        <w:rPr>
          <w:color w:val="555555"/>
          <w:sz w:val="18"/>
        </w:rPr>
        <w:t xml:space="preserve">Wahlordnung Seeschifffahrt</w:t>
      </w:r>
    </w:p>
    <w:p>
      <w:r>
        <w:rPr>
          <w:color w:val="555555"/>
          <w:sz w:val="18"/>
        </w:rPr>
        <w:t xml:space="preserve">Stand: 15.10.2021 (konsolidierte Textfassung, kein amtliches Inkrafttretensdatum)</w:t>
      </w:r>
    </w:p>
    <w:p>
      <w:r>
        <w:t xml:space="preserve">(1) Die Leitung der Wahl des Seebetriebsrats obliegt dem Wahlvorstand. Der Arbeitgeber hat dem Wahlvorstand die für eine ordnungsgemäße Durchführung der Wahl erforderlichen Auskünfte zu erteilen und die erforderlichen Unterlagen zur Verfügung zu stellen; hierzu gehört insbesondere die Angabe der Häfen, die die einzelnen zum Seeschifffahrtsunternehmen gehörigen Schiffe anlaufen, sowie der voraussichtlichen jeweiligen Liegezeiten.</w:t>
      </w:r>
    </w:p>
    <w:p>
      <w:r>
        <w:t xml:space="preserve">(2) Der Wahlvorstand kann sich eine schriftliche Geschäftsordnung geben. Er kann Arbeitnehmerinnen oder Arbeitnehmer, die im Landbetrieb des Seeschifffahrtsunternehmens wahlberechtigt sind, als Wahlhelferinnen oder Wahlhelfer zu seiner Unterstützung bei den in § 51 Abs. 2 genannten Aufgaben und bei der Auszählung der Stimmen heranziehen.</w:t>
      </w:r>
    </w:p>
    <w:p>
      <w:r>
        <w:t xml:space="preserve">(3) Die Beschlüsse des Wahlvorstands werden mit einfacher Stimmenmehrheit seiner stimmberechtigten Mitglieder gefasst. Die Sitzungen des Wahlvorstands finden als Präsenzsitzung statt. Über jede Sitzung des Wahlvorstands ist eine Niederschrift aufzunehmen, die mindestens den Wortlaut der gefassten Beschlüsse enthält. Die Niederschrift ist von der oder dem Vorsitzenden und einem weiteren stimmberechtigten Mitglied des Wahlvorstands zu unterzeichnen.</w:t>
      </w:r>
    </w:p>
    <w:p>
      <w:r>
        <w:t xml:space="preserve">(4) Abweichend von Absatz 3 Satz 2 kann der Wahlvorstand beschließen, dass die Teilnahme an einer nicht öffentlichen Sitzung des Wahlvorstands mittels Video- und Telefonkonferenz erfolgen kann. Dies gilt nicht für Sitzungen des Wahlvorstands</w:t>
      </w:r>
    </w:p>
    <w:p>
      <w:pPr>
        <w:ind w:left="420"/>
      </w:pPr>
      <w:r>
        <w:t xml:space="preserve">1. zur Prüfung der eingereichten Wahlvorschläge nach § 43 Absatz 2 Satz 2,</w:t>
      </w:r>
    </w:p>
    <w:p>
      <w:pPr>
        <w:ind w:left="420"/>
      </w:pPr>
      <w:r>
        <w:t xml:space="preserve">2. zur Durchführung des Losverfahrens nach § 57 in Verbindung mit § 20 Satz 1.</w:t>
      </w:r>
    </w:p>
    <w:p>
      <w:r>
        <w:t xml:space="preserve">Es muss sichergestellt sein, dass Dritte vom Inhalt der Sitzung keine Kenntnis nehmen können. Eine Aufzeichnung der Sitzung ist unzulässig. Die mittels Video- und Telefonkonferenz Teilnehmenden bestätigen ihre Teilnahme gegenüber der oder dem Vorsitzenden in Textform. Die Bestätigung ist der Niederschrift nach Absatz 3 beizufügen.</w:t>
      </w:r>
    </w:p>
    <w:p>
      <w:r>
        <w:t xml:space="preserve">(5) Erfolgt die Sitzung des Wahlvorstands mit der zusätzlichen Möglichkeit der Teilnahme mittels Video- und Telefonkonferenz, gilt auch eine Teilnahme vor Ort als erforderlich.</w:t>
      </w:r>
    </w:p>
    <w:p>
      <w:r>
        <w:rPr>
          <w:color w:val="555555"/>
          <w:sz w:val="17"/>
        </w:rPr>
        <w:t xml:space="preserve">Zitiervorschlag: § 32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