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WOS 2002 — Verfahren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Liegt ein Beschluss nach § 115 Abs. 2 Nr. 6 des Gesetzes vor, so gelten die Vorschriften der §§ 1 bis 30 mit folgender Maßgabe:</w:t>
      </w:r>
    </w:p>
    <w:p>
      <w:pPr>
        <w:ind w:left="420"/>
      </w:pPr>
      <w:r>
        <w:t xml:space="preserve">1. Der Wahlvorstand hat die Wahl unverzüglich einzuleiten und so durchzuführen, dass die Stimmabgabe vor Ablauf von 24 Stunden seit Erlass des Wahlausschreibens beendet ist.</w:t>
      </w:r>
    </w:p>
    <w:p>
      <w:pPr>
        <w:ind w:left="420"/>
      </w:pPr>
      <w:r>
        <w:t xml:space="preserve">2. Der Wahlvorstand hat den Ablauf der Wahl abweichend von den in § 3 Abs. 1, § 5 Abs. 1, Abs. 2 Nr. 3 und 10, § 6 Abs. 1, § 8 Abs. 3 Satz 1 und Abs. 4 Satz 1, § 9 Abs. 2 und § 11 Abs. 1 und 2 genannten Fristen festzulegen. Dabei muss</w:t>
      </w:r>
    </w:p>
    <w:p>
      <w:pPr>
        <w:ind w:left="780"/>
      </w:pPr>
      <w:r>
        <w:t xml:space="preserve">a) für den Einspruch gegen die Wählerliste (§ 3 Abs. 1) sowie für die Einreichung von Wahlvorschlägen (§ 6 Abs. 1 Satz 1) und</w:t>
      </w:r>
    </w:p>
    <w:p>
      <w:pPr>
        <w:ind w:left="780"/>
      </w:pPr>
      <w:r>
        <w:t xml:space="preserve">b) für die Bekanntmachung der Wahlvorschläge (§ 11 Abs. 1 und 2) jeweils mindestens ein Zeitraum von sechs Stunden zur Verfügung stehen.</w:t>
      </w:r>
    </w:p>
    <w:p>
      <w:pPr>
        <w:ind w:left="420"/>
      </w:pPr>
      <w:r>
        <w:t xml:space="preserve">3. Abweichend von § 5 Abs. 2 Nr. 12 und § 11 hat der Wahlvorstand den Ort und den Zeitraum der Stimmabgabe sowie der öffentlichen Stimmauszählung und die Hinweise für die Stimmabgabe im Wahlausschreiben bekannt zu machen.</w:t>
      </w:r>
    </w:p>
    <w:p>
      <w:pPr>
        <w:ind w:left="420"/>
      </w:pPr>
      <w:r>
        <w:t xml:space="preserve">4. Verzögert sich der Ablauf der Wahl aus zwingenden Gründen, so hat der Wahlvorstand die Wahl auch nach Ablauf der in Nummer 1 genannten Frist weiterzuführen. Er hat unter Beachtung der in Nummer 2 Satz 2 genannten Fristen für einen zügigen Fortgang der Wahl zu sorgen. Das Wahlausschreiben ist entsprechend zu berichtigen.</w:t>
      </w:r>
    </w:p>
    <w:p>
      <w:r>
        <w:rPr>
          <w:color w:val="555555"/>
          <w:sz w:val="17"/>
        </w:rPr>
        <w:t xml:space="preserve">Zitiervorschlag: § 31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