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WOS 2002 — Wahlvorschläge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(1) Wahlvorschläge für die Wahl des Mitglieds der Bordvertretung bedürfen keiner Unterzeichnung.</w:t>
      </w:r>
    </w:p>
    <w:p>
      <w:r>
        <w:t xml:space="preserve">(2) Unverzüglich nach Ablauf der in § 6 Abs. 1, § 9 Abs. 2 und § 10 Abs. 1 genannten Fristen ordnet der Wahlvorstand die als gültig anerkannten Wahlvorschläge in alphabetischer Reihenfolge.</w:t>
      </w:r>
    </w:p>
    <w:p>
      <w:r>
        <w:rPr>
          <w:color w:val="555555"/>
          <w:sz w:val="17"/>
        </w:rPr>
        <w:t xml:space="preserve">Zitiervorschlag: § 28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