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WOS 2002 — Stimmzettel, Stimmabgabe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Nach den Grundsätzen der Mehrheitswahl ist zu wählen, wenn nur eine gültige Vorschlagsliste eingegangen ist.</w:t>
      </w:r>
    </w:p>
    <w:p>
      <w:r>
        <w:t xml:space="preserve">(2) Auf den Stimmzetteln sind die Bewerberinnen oder Bewerber unter Angabe von Familiennamen, Vornamen und Art der Beschäftigung in der Reihenfolge aufzuführen, in der sie auf der Vorschlagsliste benannt sind.</w:t>
      </w:r>
    </w:p>
    <w:p>
      <w:r>
        <w:t xml:space="preserve">(3) Die Wählerin oder der Wähler kreuzt auf dem Stimmzettel die Namen der Bewerberinnen oder Bewerber an, für die sie oder er die Stimme abgeben will. Die Stimme kann nur für solche Bewerberinnen oder Bewerber abgegeben werden, die auf dem Stimmzettel aufgeführt sind. Es dürfen nicht mehr Namen angekreuzt werden, als Mitglieder der Bordvertretung zu wählen sind.</w:t>
      </w:r>
    </w:p>
    <w:p>
      <w:r>
        <w:rPr>
          <w:color w:val="555555"/>
          <w:sz w:val="17"/>
        </w:rPr>
        <w:t xml:space="preserve">Zitiervorschlag: § 24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