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WOS 2002 — Wahlniederschrift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Nachdem ermittelt ist, wer gewählt ist, hat der Wahlvorstand in einer Niederschrift festzustellen</w:t>
      </w:r>
    </w:p>
    <w:p>
      <w:pPr>
        <w:ind w:left="420"/>
      </w:pPr>
      <w:r>
        <w:t xml:space="preserve">1. die Gesamtzahl der abgegebenen Stimmen und die Zahl der gültigen Stimmen;</w:t>
      </w:r>
    </w:p>
    <w:p>
      <w:pPr>
        <w:ind w:left="420"/>
      </w:pPr>
      <w:r>
        <w:t xml:space="preserve">2. die Zahl der ungültigen Stimmen;</w:t>
      </w:r>
    </w:p>
    <w:p>
      <w:pPr>
        <w:ind w:left="420"/>
      </w:pPr>
      <w:r>
        <w:t xml:space="preserve">3. im Fall der Verhältniswahl (§§ 21 bis 23) die Zahl der auf jede Vorschlagsliste entfallenen gültigen Stimmen sowie die berechneten Höchstzahlen und ihre Verteilung auf die Vorschlagslisten;</w:t>
      </w:r>
    </w:p>
    <w:p>
      <w:pPr>
        <w:ind w:left="420"/>
      </w:pPr>
      <w:r>
        <w:t xml:space="preserve">4. im Fall der Mehrheitswahl (§§ 24 bis 30) die Zahl der auf jede Bewerberin und jeden Bewerber entfallenen gültigen Stimmen;</w:t>
      </w:r>
    </w:p>
    <w:p>
      <w:pPr>
        <w:ind w:left="420"/>
      </w:pPr>
      <w:r>
        <w:t xml:space="preserve">5. die Namen der gewählten Bewerberinnen und Bewerber;</w:t>
      </w:r>
    </w:p>
    <w:p>
      <w:pPr>
        <w:ind w:left="420"/>
      </w:pPr>
      <w:r>
        <w:t xml:space="preserve">6. gegebenenfalls besondere während der Wahl der Bordvertretung eingetretene Zwischenfälle oder sonstige Ereignisse.</w:t>
      </w:r>
    </w:p>
    <w:p>
      <w:r>
        <w:t xml:space="preserve">(2) Die Niederschrift ist von der oder dem Vorsitzenden und von mindestens einem weiteren stimmberechtigten Mitglied des Wahlvorstands zu unterzeichnen.</w:t>
      </w:r>
    </w:p>
    <w:p>
      <w:r>
        <w:t xml:space="preserve">(3) Der Wahlvorstand hat je eine Abschrift der Wahlniederschrift dem Kapitän, dem Seebetriebsrat und den an Bord vertretenen Gewerkschaften unverzüglich zu übermitteln.</w:t>
      </w:r>
    </w:p>
    <w:p>
      <w:r>
        <w:rPr>
          <w:color w:val="555555"/>
          <w:sz w:val="17"/>
        </w:rPr>
        <w:t xml:space="preserve">Zitiervorschlag: § 16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