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WOS 2002 — Feststellung des Wahlergebnisses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(1) Nach Öffnung der Wahlurnen entnimmt der Wahlvorstand den Wahlumschlägen die Stimmzettel und prüft ihre Gültigkeit.</w:t>
      </w:r>
    </w:p>
    <w:p>
      <w:r>
        <w:t xml:space="preserve">(2) Ungültig sind Stimmzettel,</w:t>
      </w:r>
    </w:p>
    <w:p>
      <w:pPr>
        <w:ind w:left="420"/>
      </w:pPr>
      <w:r>
        <w:t xml:space="preserve">1. die nicht den Erfordernissen des § 12 Abs. 1 Satz 2 entsprechen,</w:t>
      </w:r>
    </w:p>
    <w:p>
      <w:pPr>
        <w:ind w:left="420"/>
      </w:pPr>
      <w:r>
        <w:t xml:space="preserve">2. aus denen sich der Wille des Wählers nicht zweifelsfrei ergibt,</w:t>
      </w:r>
    </w:p>
    <w:p>
      <w:pPr>
        <w:ind w:left="420"/>
      </w:pPr>
      <w:r>
        <w:t xml:space="preserve">3. die ein besonderes Merkmal, einen Zusatz oder einen Vorbehalt enthalten.</w:t>
      </w:r>
    </w:p>
    <w:p>
      <w:r>
        <w:t xml:space="preserve">(3) Der Wahlvorstand zählt</w:t>
      </w:r>
    </w:p>
    <w:p>
      <w:pPr>
        <w:ind w:left="420"/>
      </w:pPr>
      <w:r>
        <w:t xml:space="preserve">1. im Fall der Verhältniswahl (§§ 21 bis 23) die auf jede Vorschlagsliste,</w:t>
      </w:r>
    </w:p>
    <w:p>
      <w:pPr>
        <w:ind w:left="420"/>
      </w:pPr>
      <w:r>
        <w:t xml:space="preserve">2. im Fall der Mehrheitswahl (§§ 24 bis 30) die auf jede einzelne Bewerberin oder jeden einzelnen Bewerber</w:t>
      </w:r>
    </w:p>
    <w:p>
      <w:r>
        <w:t xml:space="preserve">entfallenen gültigen Stimmen zusammen.</w:t>
      </w:r>
    </w:p>
    <w:p>
      <w:r>
        <w:rPr>
          <w:color w:val="555555"/>
          <w:sz w:val="17"/>
        </w:rPr>
        <w:t xml:space="preserve">Zitiervorschlag: § 15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