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WOS 2002 — Bekanntmachungen zur Stimmabgabe</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Unverzüglich nach Ordnung der Wahlvorschläge (§§ 20, 28 Abs. 2) hat der Wahlvorstand</w:t>
      </w:r>
    </w:p>
    <w:p>
      <w:pPr>
        <w:ind w:left="420"/>
      </w:pPr>
      <w:r>
        <w:t xml:space="preserve">1. die als gültig anerkannten Wahlvorschläge,</w:t>
      </w:r>
    </w:p>
    <w:p>
      <w:pPr>
        <w:ind w:left="420"/>
      </w:pPr>
      <w:r>
        <w:t xml:space="preserve">2. den Ort und den Zeitraum der Stimmabgabe (Absatz 2) und</w:t>
      </w:r>
    </w:p>
    <w:p>
      <w:pPr>
        <w:ind w:left="420"/>
      </w:pPr>
      <w:r>
        <w:t xml:space="preserve">3. Hinweise für die Stimmabgabe (Absatz 3)</w:t>
      </w:r>
    </w:p>
    <w:p>
      <w:r>
        <w:t xml:space="preserve">in gleicher Weise wie das Wahlausschreiben bis zum Abschluss der Stimmabgabe bekannt zu machen.</w:t>
      </w:r>
    </w:p>
    <w:p>
      <w:r>
        <w:t xml:space="preserve">(2) Der Zeitraum der Stimmabgabe darf nicht vor Ablauf von 24 Stunden nach der Bekanntmachung beginnen und soll spätestens 48 Stunden nach der Bekanntmachung enden. Er ist so zu bemessen, dass allen Wahlberechtigten die Stimmabgabe unter Berücksichtigung der Erfordernisse des ordnungsgemäßen Schiffsbetriebs möglich ist.</w:t>
      </w:r>
    </w:p>
    <w:p>
      <w:r>
        <w:t xml:space="preserve">(3) In den Hinweisen für die Stimmabgabe ist anzugeben, dass die Wählerin oder der Wähler auf dem Stimmzettel nur ankreuzen darf 1.bei Verhältniswahl (§§ 21 bis 23) eine Vorschlagsliste; 2.bei Mehrheitswahl nach den §§ 24 bis 30 so viele Namen, wie Mitglieder der Bordvertretung zu wählen sind.</w:t>
      </w:r>
    </w:p>
    <w:p>
      <w:r>
        <w:rPr>
          <w:color w:val="555555"/>
          <w:sz w:val="17"/>
        </w:rPr>
        <w:t xml:space="preserve">Zitiervorschlag: § 11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