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WOGeistEigÜbkuaG</w:t>
      </w:r>
    </w:p>
    <w:p>
      <w:r>
        <w:rPr>
          <w:color w:val="555555"/>
          <w:sz w:val="18"/>
        </w:rPr>
        <w:t xml:space="preserve">Gesetz über die am 14. Juli 1967 in Stockholm unterzeichneten Übereinkünfte auf dem Gebiet des geistigen Eigentums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Änderungen der Ausführungsordnung und Festsetzungen der Höhe von Gebühren, die die Versammlung des Verbandes für die internationale Registrierung von Marken gemäß Artikel 10 Abs. 2 Buchstabe a Ziffer iii der Stockholmer Fassung des Madrider Abkommens vom 14. April 1891 über die internationale Registrierung von Marken beschließt, sind im Bundesgesetzblatt bekanntzumachen.</w:t>
      </w:r>
    </w:p>
    <w:p>
      <w:r>
        <w:rPr>
          <w:color w:val="555555"/>
          <w:sz w:val="17"/>
        </w:rPr>
        <w:t xml:space="preserve">Zitiervorschlag: Art 2 WOGeistEigÜbkuaG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https://recht.nulegal.eu/gesetze/WOGeistEig%C3%9CbkuaG/2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WOGeistEigÜbkuaG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