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WODrittelbG — Bestätigung und Prüfung der Wahlvorschläge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Betriebswahlvorstand bestätigt dem Vorschlagsvertreter schriftlich den Zeitpunkt der Einreichung des Wahlvorschlags.</w:t>
      </w:r>
    </w:p>
    <w:p>
      <w:r>
        <w:t xml:space="preserve">(2) Der Betriebswahlvorstand hat unverzüglich den Wahlvorschlag zu prüfen und bei Ungültigkeit oder Beanstandung den Vorschlagsvertreter schriftlich unter Angabe der Gründe zu unterrichten.</w:t>
      </w:r>
    </w:p>
    <w:p>
      <w:r>
        <w:rPr>
          <w:color w:val="555555"/>
          <w:sz w:val="17"/>
        </w:rPr>
        <w:t xml:space="preserve">Zitiervorschlag: § 9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