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WODrittelbG — Einspruch gegen die Wählerliste</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Einsprüche gegen die Richtigkeit der Wählerliste können innerhalb von einer Woche seit Erlass des Wahlausschreibens schriftlich beim Betriebswahlvorstand eingelegt werden. Einsprüche gegen Berichtigungen und Ergänzungen der Wählerliste können innerhalb von einer Woche seit der Berichtigung oder der Ergänzung eingelegt werden.</w:t>
      </w:r>
    </w:p>
    <w:p>
      <w:r>
        <w:t xml:space="preserve">(2) Über Einsprüche nach Absatz 1 entscheidet der Betriebswahlvorstand unverzüglich. Ist ein Einspruch begründet, so wird die Wählerliste berichtigt. Der Betriebswahlvorstand teilt die Entscheidung demjenigen, der den Einspruch eingelegt hat, unverzüglich schriftlich mit.</w:t>
      </w:r>
    </w:p>
    <w:p>
      <w:r>
        <w:t xml:space="preserve">(3) Die Wählerliste kann nach Ablauf der Einspruchsfrist nur bei Schreibfehlern und offenbaren Unrichtigkeiten oder in Erledigung rechtzeitig eingelegter Einsprüche berichtigt werden.</w:t>
      </w:r>
    </w:p>
    <w:p>
      <w:r>
        <w:rPr>
          <w:color w:val="555555"/>
          <w:sz w:val="17"/>
        </w:rPr>
        <w:t xml:space="preserve">Zitiervorschlag: § 6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