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WODrittelbG — Übergangsregelung</w:t>
      </w:r>
    </w:p>
    <w:p>
      <w:r>
        <w:rPr>
          <w:color w:val="555555"/>
          <w:sz w:val="18"/>
        </w:rPr>
        <w:t xml:space="preserve">Wahlordnung zum Drittelbeteiligungsgesetz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Auf Wahlen von Aufsichtsratsmitgliedern der Arbeitnehmer, die bis einschließlich 31. März 2022 abgeschlossen sind, ist diese Verordnung in der bis zum 11. August 2021 geltenden Fassung anzuwenden.</w:t>
      </w:r>
    </w:p>
    <w:p>
      <w:r>
        <w:rPr>
          <w:color w:val="555555"/>
          <w:sz w:val="17"/>
        </w:rPr>
        <w:t xml:space="preserve">Zitiervorschlag: § 51 WODrittelbG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https://recht.nulegal.eu/gesetze/WODrittelbG/51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WODrittelbG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