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WODrittelbG — Wahlausschreiben, Einleitung der Wahl, Bekanntmachung</w:t>
      </w:r>
    </w:p>
    <w:p>
      <w:r>
        <w:rPr>
          <w:color w:val="555555"/>
          <w:sz w:val="18"/>
        </w:rPr>
        <w:t xml:space="preserve">Wahlordnung zum Drittelbeteiligungsgesetz</w:t>
      </w:r>
    </w:p>
    <w:p>
      <w:r>
        <w:rPr>
          <w:color w:val="555555"/>
          <w:sz w:val="18"/>
        </w:rPr>
        <w:t xml:space="preserve">Stand: 12.08.2021 (konsolidierte Textfassung, kein amtliches Inkrafttretensdatum)</w:t>
      </w:r>
    </w:p>
    <w:p>
      <w:r>
        <w:t xml:space="preserve">(1) Spätestens sechs Wochen vor dem ersten Tag der Stimmabgabe erlässt der Betriebswahlvorstand ein Wahlausschreiben. Mit Erlass des Wahlausschreibens ist die Wahl eingeleitet.</w:t>
      </w:r>
    </w:p>
    <w:p>
      <w:r>
        <w:t xml:space="preserve">(2) Das Wahlausschreiben muss folgende Angaben enthalten:</w:t>
      </w:r>
    </w:p>
    <w:p>
      <w:pPr>
        <w:ind w:left="420"/>
      </w:pPr>
      <w:r>
        <w:t xml:space="preserve">1. das Datum seines Erlasses;</w:t>
      </w:r>
    </w:p>
    <w:p>
      <w:pPr>
        <w:ind w:left="420"/>
      </w:pPr>
      <w:r>
        <w:t xml:space="preserve">2. wo und wie die Wahlberechtigten in die Wählerliste, das Gesetz und diese Verordnung Einsicht nehmen können;</w:t>
      </w:r>
    </w:p>
    <w:p>
      <w:pPr>
        <w:ind w:left="420"/>
      </w:pPr>
      <w:r>
        <w:t xml:space="preserve">3. dass nur Arbeitnehmer wählen können, die in der Wählerliste eingetragen sind;</w:t>
      </w:r>
    </w:p>
    <w:p>
      <w:pPr>
        <w:ind w:left="420"/>
      </w:pPr>
      <w:r>
        <w:t xml:space="preserve">4. dass Einsprüche gegen die Wählerliste (§ 6) nur innerhalb von einer Woche seit dem Erlass des Wahlausschreibens schriftlich beim Betriebswahlvorstand eingelegt werden können; der letzte Tag der Frist ist anzugeben;</w:t>
      </w:r>
    </w:p>
    <w:p>
      <w:pPr>
        <w:ind w:left="420"/>
      </w:pPr>
      <w:r>
        <w:t xml:space="preserve">5. dass Einsprüche gegen Berichtigung und Ergänzung der Wählerliste nur innerhalb von einer Woche seit der Berichtigung oder der Ergänzung eingelegt werden können;</w:t>
      </w:r>
    </w:p>
    <w:p>
      <w:pPr>
        <w:ind w:left="420"/>
      </w:pPr>
      <w:r>
        <w:t xml:space="preserve">6. die Zahl der zu wählenden Arbeitnehmervertreter; soweit Arbeitnehmervertreter nach § 4 Abs. 2 des Gesetzes Arbeitnehmer des Unternehmens sein müssen, ist hierauf hinzuweisen;</w:t>
      </w:r>
    </w:p>
    <w:p>
      <w:pPr>
        <w:ind w:left="420"/>
      </w:pPr>
      <w:r>
        <w:t xml:space="preserve">6a. bei Unternehmen mit Mehrheitsbeteiligung des Bundes im Sinne des § 393a Absatz 1 des Aktiengesetzes oder des § 77a Absatz 1 des Gesetzes betreffend die Gesellschaften mit beschränkter Haftung, ob zur Erreichung des Geschlechteranteils nach § 393a Absatz 2 Nummer 2 des Aktiengesetzes oder § 77a Absatz 3 Satz 1 des Gesetzes betreffend die Gesellschaften mit beschränkter Haftung jeweils in Verbindung mit § 96 Absatz 2 Satz 1 des Aktiengesetzes für die Wahl die Gesamterfüllung oder die Getrennterfüllung gilt;</w:t>
      </w:r>
    </w:p>
    <w:p>
      <w:pPr>
        <w:ind w:left="420"/>
      </w:pPr>
      <w:r>
        <w:t xml:space="preserve">6b. bei Unternehmen mit Mehrheitsbeteiligung des Bundes im Sinne des § 393a Absatz 1 des Aktiengesetzes oder des § 77a Absatz 1 des Gesetzes betreffend die Gesellschaften mit beschränkter Haftung im Fall der Gesamterfüllung die zur Erreichung des Geschlechteranteils nach § 393a Absatz 2 Nummer 2 des Aktiengesetzes oder § 77a Absatz 3 Satz 1 des Gesetzes betreffend die Gesellschaften mit beschränkter Haftung jeweils in Verbindung mit § 96 Absatz 2 Satz 1 und 4 des Aktiengesetzes erforderliche Anzahl an Frauen und Männern im Aufsichtsrat;</w:t>
      </w:r>
    </w:p>
    <w:p>
      <w:pPr>
        <w:ind w:left="420"/>
      </w:pPr>
      <w:r>
        <w:t xml:space="preserve">6c. bei Unternehmen mit Mehrheitsbeteiligung des Bundes im Sinne des § 393a Absatz 1 des Aktiengesetzes oder des § 77a Absatz 1 des Gesetzes betreffend die Gesellschaften mit beschränkter Haftung im Fall der Getrennterfüllung die zur Erreichung des Geschlechteranteils nach § 4 Absatz 5 des Gesetzes in Verbindung mit § 96 Absatz 2 Satz 4 des Aktiengesetzes erforderliche Anzahl an Frauen und Männern unter den Aufsichtsratsmitgliedern der Arbeitnehmer;</w:t>
      </w:r>
    </w:p>
    <w:p>
      <w:pPr>
        <w:ind w:left="420"/>
      </w:pPr>
      <w:r>
        <w:t xml:space="preserve">6d. im Fall der Nummer 6c, wenn der Geschlechteranteil nach § 4 Absatz 5 des Gesetzes bei der Wahl nicht erreicht wird, dass § 7a des Gesetzes anzuwenden ist und der Geschlechteranteil im Wege der gerichtlichen Ersatzbestellung nach § 104 des Aktiengesetzes oder der Nachwahl hergestellt wird;</w:t>
      </w:r>
    </w:p>
    <w:p>
      <w:pPr>
        <w:ind w:left="420"/>
      </w:pPr>
      <w:r>
        <w:t xml:space="preserve">7. dass die in § 105 Abs. 1 des Aktiengesetzes genannten Personen nicht Mitglied des Aufsichtsrats sein können;</w:t>
      </w:r>
    </w:p>
    <w:p>
      <w:pPr>
        <w:ind w:left="420"/>
      </w:pPr>
      <w:r>
        <w:t xml:space="preserve">8. dass der Betriebsrat und die Arbeitnehmer innerhalb von zwei Wochen seit dem Erlass des Wahlausschreibens Wahlvorschläge einreichen können; der letzte Tag der Frist ist anzugeben;</w:t>
      </w:r>
    </w:p>
    <w:p>
      <w:pPr>
        <w:ind w:left="420"/>
      </w:pPr>
      <w:r>
        <w:t xml:space="preserve">9. die Mindestzahl von Arbeitnehmern, von denen ein gültiger Wahlvorschlag der Arbeitnehmer unterzeichnet sein muss (§ 6 des Gesetzes);</w:t>
      </w:r>
    </w:p>
    <w:p>
      <w:pPr>
        <w:ind w:left="420"/>
      </w:pPr>
      <w:r>
        <w:t xml:space="preserve">10. dass in jedem Wahlvorschlag für jeden Bewerber jeweils ein Ersatzmitglied des Aufsichtsrats vorgeschlagen werden kann;</w:t>
      </w:r>
    </w:p>
    <w:p>
      <w:pPr>
        <w:ind w:left="420"/>
      </w:pPr>
      <w:r>
        <w:t xml:space="preserve">11. dass bei Wahl eines Aufsichtsratsmitglieds auch das zusammen mit ihm vorgeschlagene Ersatzmitglied gewählt ist;</w:t>
      </w:r>
    </w:p>
    <w:p>
      <w:pPr>
        <w:ind w:left="420"/>
      </w:pPr>
      <w:r>
        <w:t xml:space="preserve">11a. bei Unternehmen mit Mehrheitsbeteiligung des Bundes im Sinne des § 393a Absatz 1 des Aktiengesetzes oder des § 77a Absatz 1 des Gesetzes betreffend die Gesellschaften mit beschränkter Haftung, dass das Nachrücken eines Ersatzmitglieds, dessen Wahl nach dem 31. März 2022 erfolgt ist, ausgeschlossen ist, wenn dadurch der Geschlechteranteil nach § 4 Absatz 5 des Gesetzes nicht mehr eingehalten würde;</w:t>
      </w:r>
    </w:p>
    <w:p>
      <w:pPr>
        <w:ind w:left="420"/>
      </w:pPr>
      <w:r>
        <w:t xml:space="preserve">12. dass die Stimmabgabe an die Wahlvorschläge gebunden ist und dass nur solche Wahlvorschläge berücksichtigt werden, die fristgerecht (Nummer 8) eingereicht sind;</w:t>
      </w:r>
    </w:p>
    <w:p>
      <w:pPr>
        <w:ind w:left="420"/>
      </w:pPr>
      <w:r>
        <w:t xml:space="preserve">13. wo und wie die Wahlberechtigten von den Wahlvorschlägen bis zum Abschluss der Stimmabgabe Kenntnis erlangen können;</w:t>
      </w:r>
    </w:p>
    <w:p>
      <w:pPr>
        <w:ind w:left="420"/>
      </w:pPr>
      <w:r>
        <w:t xml:space="preserve">14. Ort, Tag und Zeit der Stimmabgabe und der öffentlichen Stimmauszählung;</w:t>
      </w:r>
    </w:p>
    <w:p>
      <w:pPr>
        <w:ind w:left="420"/>
      </w:pPr>
      <w:r>
        <w:t xml:space="preserve">15. den Hinweis auf die Möglichkeit der schriftlichen Stimmabgabe sowie die Betriebsteile und Kleinstbetriebe, für die schriftliche Stimmabgabe nach § 16 Abs. 3 Nr. 1 beschlossen ist und ob die schriftliche Stimmabgabe nach § 16 Abs. 3 Nr. 2 beschlossen worden ist;</w:t>
      </w:r>
    </w:p>
    <w:p>
      <w:pPr>
        <w:ind w:left="420"/>
      </w:pPr>
      <w:r>
        <w:t xml:space="preserve">16. dass Einsprüche, Wahlvorschläge und sonstige Erklärungen gegenüber dem Betriebswahlvorstand abzugeben sind;</w:t>
      </w:r>
    </w:p>
    <w:p>
      <w:pPr>
        <w:ind w:left="420"/>
      </w:pPr>
      <w:r>
        <w:t xml:space="preserve">17. die Namen der Mitglieder und die Betriebsanschrift des Betriebswahlvorstands.</w:t>
      </w:r>
    </w:p>
    <w:p>
      <w:r>
        <w:t xml:space="preserve">(3) Der Betriebswahlvorstand macht das Wahlausschreiben am Tag seines Erlasses bis zum Abschluss der Wahl der Aufsichtsratsmitglieder bekannt (§ 3 Abs. 3).</w:t>
      </w:r>
    </w:p>
    <w:p>
      <w:r>
        <w:rPr>
          <w:color w:val="555555"/>
          <w:sz w:val="17"/>
        </w:rPr>
        <w:t xml:space="preserve">Zitiervorschlag: § 5 WODrittelbG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https://recht.nulegal.eu/gesetze/WODrittelbG/5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