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WODrittelbG — Stimmabgabe</w:t>
      </w:r>
    </w:p>
    <w:p>
      <w:r>
        <w:rPr>
          <w:color w:val="555555"/>
          <w:sz w:val="18"/>
        </w:rPr>
        <w:t xml:space="preserve">Wahlordnung zum Drittelbeteiligungsgesetz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Arbeitnehmer von Seebetrieben stimmen bei der Abberufung von Aufsichtsratsmitgliedern in Briefwahl ab. Für die Stimmabgabe gilt § 45 Abs. 2 entsprechend.</w:t>
      </w:r>
    </w:p>
    <w:p>
      <w:r>
        <w:rPr>
          <w:color w:val="555555"/>
          <w:sz w:val="17"/>
        </w:rPr>
        <w:t xml:space="preserve">Zitiervorschlag: § 49 WODrittelbG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https://recht.nulegal.eu/gesetze/WODrittelbG/49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