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WODrittelbG — Einleitung des Abberufungsverfahrens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den Seebetrieb wird ein Betriebswahlvorstand nicht gebildet. Der zuständige Wahlvorstand nimmt im Seebetrieb die sich aus dieser Verordnung ergebenden Aufgaben des Betriebswahlvorstands wahr.</w:t>
      </w:r>
    </w:p>
    <w:p>
      <w:r>
        <w:t xml:space="preserve">(2) Für Mitteilungen, die im Seebetrieb bekannt zu machen sind, gilt § 43 Abs. 3.</w:t>
      </w:r>
    </w:p>
    <w:p>
      <w:r>
        <w:rPr>
          <w:color w:val="555555"/>
          <w:sz w:val="17"/>
        </w:rPr>
        <w:t xml:space="preserve">Zitiervorschlag: § 47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https://recht.nulegal.eu/gesetze/WODrittelbG/47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