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WODrittelbG — Bekanntmachung über die Einreichung von Wahlvorschlägen</w:t>
      </w:r>
    </w:p>
    <w:p>
      <w:r>
        <w:rPr>
          <w:color w:val="555555"/>
          <w:sz w:val="18"/>
        </w:rPr>
        <w:t xml:space="preserve">Wahlordnung zum Drittelbeteiligungsgesetz</w:t>
      </w:r>
    </w:p>
    <w:p>
      <w:r>
        <w:rPr>
          <w:color w:val="555555"/>
          <w:sz w:val="18"/>
        </w:rPr>
        <w:t xml:space="preserve">Stand: 10.06.2019 (konsolidierte Textfassung, kein amtliches Inkrafttretensdatum)</w:t>
      </w:r>
    </w:p>
    <w:p>
      <w:r>
        <w:t xml:space="preserve">(1) Das Wahlausschreiben muss im Seebetrieb auch folgende Angaben enthalten:</w:t>
      </w:r>
    </w:p>
    <w:p>
      <w:pPr>
        <w:ind w:left="420"/>
      </w:pPr>
      <w:r>
        <w:t xml:space="preserve">1. dass die Einsichtnahme in die Wählerliste des Seebetriebs, das Gesetz und diese Verordnung an Bord ermöglicht wird;</w:t>
      </w:r>
    </w:p>
    <w:p>
      <w:pPr>
        <w:ind w:left="420"/>
      </w:pPr>
      <w:r>
        <w:t xml:space="preserve">2. dass die Einsichtnahme in die Wählerliste des Seebetriebs auch in dem Landbetrieb, der für die Heuerverhältnisse der Arbeitnehmer des Seebetriebs zuständig ist, ermöglicht wird;</w:t>
      </w:r>
    </w:p>
    <w:p>
      <w:pPr>
        <w:ind w:left="420"/>
      </w:pPr>
      <w:r>
        <w:t xml:space="preserve">3. dass die Wahlvorschläge auf jedem Schiff des Seebetriebs von der Bordvertretung oder, wenn eine solche nicht besteht, vom Kapitän bekannt gemacht werden;</w:t>
      </w:r>
    </w:p>
    <w:p>
      <w:pPr>
        <w:ind w:left="420"/>
      </w:pPr>
      <w:r>
        <w:t xml:space="preserve">4. dass die Arbeitnehmer des Seebetriebs in Briefwahl wählen;</w:t>
      </w:r>
    </w:p>
    <w:p>
      <w:pPr>
        <w:ind w:left="420"/>
      </w:pPr>
      <w:r>
        <w:t xml:space="preserve">5. den Zeitpunkt, bis zu dem die Wahlbriefe beim zuständigen Wahlvorstand eingehen müssen.</w:t>
      </w:r>
    </w:p>
    <w:p>
      <w:r>
        <w:t xml:space="preserve">(2) Abweichend von § 6 Abs. 1 kann im Seebetrieb</w:t>
      </w:r>
    </w:p>
    <w:p>
      <w:pPr>
        <w:ind w:left="420"/>
      </w:pPr>
      <w:r>
        <w:t xml:space="preserve">1. ein Einspruch gegen die Richtigkeit der Wählerliste innerhalb von vier Wochen seit ihrer Versendung an die Schiffe eingelegt werden;</w:t>
      </w:r>
    </w:p>
    <w:p>
      <w:pPr>
        <w:ind w:left="420"/>
      </w:pPr>
      <w:r>
        <w:t xml:space="preserve">2. ein Einspruch gegen eine Berichtigung oder Ergänzung der Wählerliste innerhalb von vier Wochen seit der Berichtigung oder der Ergänzung eingelegt werden.</w:t>
      </w:r>
    </w:p>
    <w:p>
      <w:r>
        <w:t xml:space="preserve">(3) Die Frist für die Einreichung von Wahlvorschlägen (§ 7) wird auf fünf Wochen verlängert.</w:t>
      </w:r>
    </w:p>
    <w:p>
      <w:r>
        <w:t xml:space="preserve">(4) Die Frist für die Bekanntmachung der Wahlvorschläge (§ 12) wird auf drei Wochen verlängert. Ist zu besorgen, dass die in Satz 1 bezeichnete Mindestfrist zwischen dem für die Bekanntmachung der Wahlvorschläge an Bord bestimmten Zeitpunkt und dem Beginn der Stimmabgabe in den Landbetrieben für eine fristgerechte Stimmabgabe der Arbeitnehmer des Seebetriebs nicht ausreicht, so kann der zuständige Wahlvorstand diese Mindestfrist auf höchstens fünf Wochen verlängern. Für die Bekanntmachung der Wahlvorschläge im Seebetrieb gilt § 43 Abs. 3.</w:t>
      </w:r>
    </w:p>
    <w:p>
      <w:r>
        <w:t xml:space="preserve">(5) Für die Bekanntmachung des Wahlausschreibens im Seebetrieb gilt § 43 Abs. 3.</w:t>
      </w:r>
    </w:p>
    <w:p>
      <w:r>
        <w:rPr>
          <w:color w:val="555555"/>
          <w:sz w:val="17"/>
        </w:rPr>
        <w:t xml:space="preserve">Zitiervorschlag: § 44 WODrittelbG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https://recht.nulegal.eu/gesetze/WODrittelbG/44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