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40 WODrittelbG — Betriebswahlvorstand</w:t>
      </w:r>
    </w:p>
    <w:p>
      <w:r>
        <w:rPr>
          <w:color w:val="555555"/>
          <w:sz w:val="18"/>
        </w:rPr>
        <w:t xml:space="preserve">Wahlordnung zum Drittelbeteiligungsgesetz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die Bildung, Größe, Zusammensetzung und Aufgaben des Betriebswahlvorstands gelten § 25 Abs. 2 und 3 und § 27.</w:t>
      </w:r>
    </w:p>
    <w:p>
      <w:r>
        <w:rPr>
          <w:color w:val="555555"/>
          <w:sz w:val="17"/>
        </w:rPr>
        <w:t xml:space="preserve">Zitiervorschlag: § 40 WODrittelbG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https://recht.nulegal.eu/gesetze/WODrittelbG/40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