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WODrittelbG — Antrag, Unternehmenswahlvorstand, Hauptwahlvorstand</w:t>
      </w:r>
    </w:p>
    <w:p>
      <w:r>
        <w:rPr>
          <w:color w:val="555555"/>
          <w:sz w:val="18"/>
        </w:rPr>
        <w:t xml:space="preserve">Wahlordnung zum Drittelbeteiligungsgesetz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Antrag auf Abberufung nach § 12 des Gesetzes ist schriftlich einzureichen</w:t>
      </w:r>
    </w:p>
    <w:p>
      <w:pPr>
        <w:ind w:left="420"/>
      </w:pPr>
      <w:r>
        <w:t xml:space="preserve">1. beim Gesamtbetriebsrat, wenn das Aufsichtsratsmitglied, dessen Abberufung beantragt wird, durch die Arbeitnehmer mehrerer Betriebe gewählt worden ist; besteht kein Gesamtbetriebsrat, ist der Antrag beim Betriebsrat einzureichen;</w:t>
      </w:r>
    </w:p>
    <w:p>
      <w:pPr>
        <w:ind w:left="420"/>
      </w:pPr>
      <w:r>
        <w:t xml:space="preserve">2. beim Konzernbetriebsrat, wenn das Aufsichtsratsmitglied, dessen Abberufung beantragt wird, durch die Arbeitnehmer mehrerer Unternehmen gewählt worden ist; besteht kein Konzernbetriebsrat, ist der Antrag in dem nach der Zahl der Wahlberechtigten größten Unternehmen, in dem eine Arbeitnehmervertretung nach dem Betriebsverfassungsgesetz besteht, einzureichen; Adressat des Antrags ist der Gesamtbetriebsrat oder, wenn ein solcher nicht besteht, der Betriebsrat.</w:t>
      </w:r>
    </w:p>
    <w:p>
      <w:r>
        <w:t xml:space="preserve">§ 32 Abs. 1 Satz 2 gilt entsprechend.</w:t>
      </w:r>
    </w:p>
    <w:p>
      <w:r>
        <w:t xml:space="preserve">(2) Unverzüglich nach Eingang eines Antrags auf Abberufung oder eines entsprechenden Beschlusses eines Betriebsrats wird der nach § 25 Abs. 1 zuständige Wahlvorstand gebildet, es sei denn, der Antrag entspricht offensichtlich nicht den in § 12 Abs. 1 des Gesetzes bezeichneten Erfordernissen. Für die Größe und Zusammensetzung des zuständigen Wahlvorstands gilt § 26.</w:t>
      </w:r>
    </w:p>
    <w:p>
      <w:r>
        <w:rPr>
          <w:color w:val="555555"/>
          <w:sz w:val="17"/>
        </w:rPr>
        <w:t xml:space="preserve">Zitiervorschlag: § 39 WODrittelbG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https://recht.nulegal.eu/gesetze/WODrittelbG/39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