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 WODrittelbG — Allgemeine Vorschriften</w:t>
      </w:r>
    </w:p>
    <w:p>
      <w:r>
        <w:rPr>
          <w:color w:val="555555"/>
          <w:sz w:val="18"/>
        </w:rPr>
        <w:t xml:space="preserve">Wahlordnung zum Drittelbeteiligungsgesetz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Nehmen die Arbeitnehmer mehrerer Betriebe oder mehrerer Unternehmen an der Abstimmung über die Abberufung eines Arbeitnehmervertreters im Aufsichtsrat teil, so gelten die Vorschriften des Teils 2 Kapitel 1 entsprechend, soweit sich nicht aus den nachfolgenden Vorschriften Abweichungen ergeben.</w:t>
      </w:r>
    </w:p>
    <w:p>
      <w:r>
        <w:rPr>
          <w:color w:val="555555"/>
          <w:sz w:val="17"/>
        </w:rPr>
        <w:t xml:space="preserve">Zitiervorschlag: § 38 WODrittelbG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https://recht.nulegal.eu/gesetze/WODrittelbG/38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