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37 WODrittelbG — Öffentliche Stimmauszählung, Abstimmungsergebnis, Akten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Unverzüglich nach Abschluss der Stimmabgabe zählt der Betriebswahlvorstand öffentlich die Stimmen aus. § 18 Absatz 2 und 3 gilt entsprechend.</w:t>
      </w:r>
    </w:p>
    <w:p>
      <w:r>
        <w:t xml:space="preserve">(2) Für die Niederschrift des Betriebswahlvorstands, die Bekanntmachung und die im Zusammenhang mit einem Antrag auf Abberufung entstandenen Akten gelten die §§ 20 bis 22 entsprechend.</w:t>
      </w:r>
    </w:p>
    <w:p>
      <w:r>
        <w:rPr>
          <w:color w:val="555555"/>
          <w:sz w:val="17"/>
        </w:rPr>
        <w:t xml:space="preserve">Zitiervorschlag: § 37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https://recht.nulegal.eu/gesetze/WODrittelbG/37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