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WODrittelbG — Abberufungsausschreiben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der Antrag gültig, erlässt der Betriebswahlvorstand unverzüglich ein Abberufungsausschreiben. Mit Erlass des Abberufungsausschreibens ist das Abberufungsverfahren eingeleitet.</w:t>
      </w:r>
    </w:p>
    <w:p>
      <w:r>
        <w:t xml:space="preserve">(2) Das Abberufungsausschreiben muss folgende Angaben enthalten:</w:t>
      </w:r>
    </w:p>
    <w:p>
      <w:pPr>
        <w:ind w:left="420"/>
      </w:pPr>
      <w:r>
        <w:t xml:space="preserve">1. das Datum seines Erlasses;</w:t>
      </w:r>
    </w:p>
    <w:p>
      <w:pPr>
        <w:ind w:left="420"/>
      </w:pPr>
      <w:r>
        <w:t xml:space="preserve">2. den Inhalt des Antrags;</w:t>
      </w:r>
    </w:p>
    <w:p>
      <w:pPr>
        <w:ind w:left="420"/>
      </w:pPr>
      <w:r>
        <w:t xml:space="preserve">3. die Bezeichnung des Antragstellers;</w:t>
      </w:r>
    </w:p>
    <w:p>
      <w:pPr>
        <w:ind w:left="420"/>
      </w:pPr>
      <w:r>
        <w:t xml:space="preserve">4. die Zahl der Arbeitnehmer, die den Antrag unterzeichnet haben;</w:t>
      </w:r>
    </w:p>
    <w:p>
      <w:pPr>
        <w:ind w:left="420"/>
      </w:pPr>
      <w:r>
        <w:t xml:space="preserve">5. dass an der Abstimmung nur teilnehmen kann, wer in der Wählerliste eingetragen ist;</w:t>
      </w:r>
    </w:p>
    <w:p>
      <w:pPr>
        <w:ind w:left="420"/>
      </w:pPr>
      <w:r>
        <w:t xml:space="preserve">6. dass der Beschluss über die Abberufung einer Mehrheit von drei Vierteln der abgegebenen Stimmen bedarf;</w:t>
      </w:r>
    </w:p>
    <w:p>
      <w:pPr>
        <w:ind w:left="420"/>
      </w:pPr>
      <w:r>
        <w:t xml:space="preserve">7. Ort, Tag und Zeit der Stimmabgabe und der öffentlichen Stimmauszählung;</w:t>
      </w:r>
    </w:p>
    <w:p>
      <w:pPr>
        <w:ind w:left="420"/>
      </w:pPr>
      <w:r>
        <w:t xml:space="preserve">8. den Hinweis auf die Möglichkeit der schriftlichen Stimmabgabe sowie die Betriebsteile und Kleinstbetriebe für die schriftliche Stimmabgabe nach § 36 Abs. 2 und § 16 Abs. 3 Nr. 1 beschlossen ist und ob die schriftliche Stimmabgabe nach § 16 Abs. 3 Nr. 2 beschlossen worden ist;</w:t>
      </w:r>
    </w:p>
    <w:p>
      <w:pPr>
        <w:ind w:left="420"/>
      </w:pPr>
      <w:r>
        <w:t xml:space="preserve">9. dass Einsprüche und sonstige Erklärungen gegenüber dem Betriebswahlvorstand abzugeben sind.</w:t>
      </w:r>
    </w:p>
    <w:p>
      <w:r>
        <w:t xml:space="preserve">(3) Für die Bekanntmachung des Abberufungsausschreibens gilt § 5 Abs. 3 entsprechend.</w:t>
      </w:r>
    </w:p>
    <w:p>
      <w:r>
        <w:rPr>
          <w:color w:val="555555"/>
          <w:sz w:val="17"/>
        </w:rPr>
        <w:t xml:space="preserve">Zitiervorschlag: § 35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