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34 WODrittelbG — Prüfung des Antrags auf Abberufung</w:t>
      </w:r>
    </w:p>
    <w:p>
      <w:r>
        <w:rPr>
          <w:color w:val="555555"/>
          <w:sz w:val="18"/>
        </w:rPr>
        <w:t xml:space="preserve">Wahlordnung zum Drittelbeteiligungsgesetz</w:t>
      </w:r>
    </w:p>
    <w:p>
      <w:r>
        <w:rPr>
          <w:color w:val="555555"/>
          <w:sz w:val="18"/>
        </w:rPr>
        <w:t xml:space="preserve">Stand: 10.06.2019 (konsolidierte Textfassung, kein amtliches Inkrafttretensdatum)</w:t>
      </w:r>
    </w:p>
    <w:p>
      <w:r>
        <w:t xml:space="preserve">(1) Der Betriebswahlvorstand prüft unverzüglich nach Ablauf der in § 33 Abs. 1 Satz 2, § 6 Abs. 1 bezeichneten Fristen die Gültigkeit des Antrags auf Abberufung (§ 12 des Gesetzes).</w:t>
      </w:r>
    </w:p>
    <w:p>
      <w:r>
        <w:t xml:space="preserve">(2) Ist ein Antrag ungültig, so teilt der Betriebswahlvorstand dies dem Antragsvertreter oder, wenn ein solcher nicht benannt ist, dem an erster Stelle Unterzeichnenden schriftlich mit. Der Betriebswahlvorstand macht die Mitteilung für die Dauer von zwei Wochen bekannt.</w:t>
      </w:r>
    </w:p>
    <w:p>
      <w:r>
        <w:rPr>
          <w:color w:val="555555"/>
          <w:sz w:val="17"/>
        </w:rPr>
        <w:t xml:space="preserve">Zitiervorschlag: § 34 WODrittelbG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https://recht.nulegal.eu/gesetze/WODrittelbG/34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34 WODrittelbG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