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32 WODrittelbG — Einleitung des Abberufungsverfahrens</w:t>
      </w:r>
    </w:p>
    <w:p>
      <w:r>
        <w:rPr>
          <w:color w:val="555555"/>
          <w:sz w:val="18"/>
        </w:rPr>
        <w:t xml:space="preserve">Wahlordnung zum Drittelbeteiligungsgesetz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Ein Antrag auf Abberufung eines Aufsichtsratsmitglieds der Arbeitnehmer oder eines Ersatzmitglieds nach § 12 des Gesetzes ist schriftlich beim Betriebsrat einzureichen. Der Antrag eines Betriebsrats erfolgt auf Grund eines Beschlusses.</w:t>
      </w:r>
    </w:p>
    <w:p>
      <w:r>
        <w:t xml:space="preserve">(2) Unverzüglich nach Eingang eines Antrags auf Abberufung oder eines entsprechenden Beschlusses eines Betriebsrats wird der Betriebswahlvorstand gebildet, es sei denn, der Antrag entspricht offensichtlich nicht den in § 12 Abs. 1 des Gesetzes bezeichneten Erfordernissen.</w:t>
      </w:r>
    </w:p>
    <w:p>
      <w:r>
        <w:t xml:space="preserve">(3) Für die Aufgaben, die Bildung, die Zusammensetzung und die Geschäftsführung des Betriebswahlvorstands sind die §§ 2 und 3 entsprechend anzuwenden. Die Mitteilung nach § 2 Abs. 5 muss auch den Inhalt des Antrags auf Abberufung enthalten.</w:t>
      </w:r>
    </w:p>
    <w:p>
      <w:r>
        <w:t xml:space="preserve">(4) Das Unternehmen hat dem Betriebswahlvorstand die bei der Wahl des Aufsichtsratsmitglieds, dessen Abberufung beantragt wird, entstandenen Wahlakten zu übergeben.</w:t>
      </w:r>
    </w:p>
    <w:p>
      <w:r>
        <w:rPr>
          <w:color w:val="555555"/>
          <w:sz w:val="17"/>
        </w:rPr>
        <w:t xml:space="preserve">Zitiervorschlag: § 32 WODrittelbG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https://recht.nulegal.eu/gesetze/WODrittelbG/32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