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WODrittelbG — Stimmauszählung, Niederschrift, Bekanntmachung</w:t>
      </w:r>
    </w:p>
    <w:p>
      <w:r>
        <w:rPr>
          <w:color w:val="555555"/>
          <w:sz w:val="18"/>
        </w:rPr>
        <w:t xml:space="preserve">Wahlordnung zum Drittelbeteiligungsgesetz</w:t>
      </w:r>
    </w:p>
    <w:p>
      <w:r>
        <w:rPr>
          <w:color w:val="555555"/>
          <w:sz w:val="18"/>
        </w:rPr>
        <w:t xml:space="preserve">Stand: 12.08.2021 (konsolidierte Textfassung, kein amtliches Inkrafttretensdatum)</w:t>
      </w:r>
    </w:p>
    <w:p>
      <w:r>
        <w:t xml:space="preserve">(1) Die öffentliche Stimmauszählung in den Betrieben obliegt dem Betriebswahlvorstand.</w:t>
      </w:r>
    </w:p>
    <w:p>
      <w:r>
        <w:t xml:space="preserve">(2) Nachdem die Stimmen ausgezählt sind, erstellt der Betriebswahlvorstand eine Niederschrift (§ 20) und übermittelt diese unverzüglich dem zuständigen Wahlvorstand eingeschrieben, fernschriftlich oder durch Boten.</w:t>
      </w:r>
    </w:p>
    <w:p>
      <w:r>
        <w:t xml:space="preserve">(3) Der zuständige Wahlvorstand ermittelt anhand der Niederschriften der Betriebswahlvorstände das Wahlergebnis und stellt es in einer Niederschrift fest. § 20 gilt entsprechend.</w:t>
      </w:r>
    </w:p>
    <w:p>
      <w:r>
        <w:t xml:space="preserve">(4) Der zuständige Wahlvorstand übermittelt das Wahlergebnis den Betriebswahlvorständen. Diese machen das Wahlergebnis unverzüglich für die Dauer von zwei Wochen bekannt. Gleichzeitig benachrichtigt der zuständige Wahlvorstand die Gewählten schriftlich von ihrer Wahl und übermittelt das Wahlergebnis und die Namen der Gewählten dem Unternehmen.</w:t>
      </w:r>
    </w:p>
    <w:p>
      <w:r>
        <w:t xml:space="preserve">(4a) Wurde bei Unternehmen mit Mehrheitsbeteiligung des Bundes im Sinne des § 393a Absatz 1 des Aktiengesetzes oder des § 77a Absatz 1 des Gesetzes betreffend die Gesellschaften mit beschränkter Haftung im Fall der Getrennterfüllung der Geschlechteranteil nach § 4 Absatz 5 des Gesetzes bei der Wahl nicht erreicht, informiert der zuständige Wahlvorstand die Adressaten des Absatzes 4 zusätzlich</w:t>
      </w:r>
    </w:p>
    <w:p>
      <w:pPr>
        <w:ind w:left="420"/>
      </w:pPr>
      <w:r>
        <w:t xml:space="preserve">1. über die Anzahl der Sitze, die auf Grund des Nichterreichens des Geschlechteranteils nach § 4 Absatz 5 des Gesetzes nicht besetzt wurden, und</w:t>
      </w:r>
    </w:p>
    <w:p>
      <w:pPr>
        <w:ind w:left="420"/>
      </w:pPr>
      <w:r>
        <w:t xml:space="preserve">2. darüber, dass diese nicht besetzten Aufsichtsratssitze nach § 7a Absatz 2 des Gesetzes im Wege der gerichtlichen Ersatzbestellung nach § 104 des Aktiengesetzes oder der Nachwahl zu besetzen sind.</w:t>
      </w:r>
    </w:p>
    <w:p>
      <w:r>
        <w:t xml:space="preserve">(5) Die Wahlvorstände übergeben ihre Wahlakten dem Unternehmen, in dessen Aufsichtsrat die Aufsichtsratsmitglieder der Arbeitnehmer gewählt worden sind. Das Unternehmen bewahrt die Wahlakten mindestens für die Dauer von fünf Jahren auf.</w:t>
      </w:r>
    </w:p>
    <w:p>
      <w:r>
        <w:rPr>
          <w:color w:val="555555"/>
          <w:sz w:val="17"/>
        </w:rPr>
        <w:t xml:space="preserve">Zitiervorschlag: § 31 WODrittelbG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https://recht.nulegal.eu/gesetze/WODrittelbG/31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WODrittelbG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