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WODrittelbG — Schriftliche Stimmabgabe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zuständige Wahlvorstand übersendet den Betriebswahlvorständen auf Anforderung die für die in den Betrieben durchzuführende schriftliche Stimmabgabe erforderlichen Unterlagen (§ 16 Abs. 1).</w:t>
      </w:r>
    </w:p>
    <w:p>
      <w:r>
        <w:t xml:space="preserve">(2) Dem Betriebswahlvorstand obliegt die Durchführung der schriftlichen Stimmabgabe.</w:t>
      </w:r>
    </w:p>
    <w:p>
      <w:r>
        <w:rPr>
          <w:color w:val="555555"/>
          <w:sz w:val="17"/>
        </w:rPr>
        <w:t xml:space="preserve">Zitiervorschlag: § 30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