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WODrittelbG — Wahlausschreiben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Spätestens sechs Wochen vor dem ersten Tag der Stimmabgabe erlässt der zuständige Wahlvorstand ein Wahlausschreiben. Mit Erlass des Wahlausschreibens ist die Wahl eingeleitet. § 5 Abs. 2 gilt mit der Maßgabe, dass</w:t>
      </w:r>
    </w:p>
    <w:p>
      <w:pPr>
        <w:ind w:left="420"/>
      </w:pPr>
      <w:r>
        <w:t xml:space="preserve">1. Wahlvorschläge gegenüber dem zuständigen Wahlvorstand abzugeben sind (Nummer 16) und</w:t>
      </w:r>
    </w:p>
    <w:p>
      <w:pPr>
        <w:ind w:left="420"/>
      </w:pPr>
      <w:r>
        <w:t xml:space="preserve">2. die Betriebsanschrift des zuständigen Wahlvorstands anzugeben ist (Nummer 17).</w:t>
      </w:r>
    </w:p>
    <w:p>
      <w:r>
        <w:t xml:space="preserve">(2) Der zuständige Wahlvorstand übersendet das Wahlausschreiben den Betriebswahlvorständen und fordert sie auf, die notwendigen Angaben nach Absatz 3 zu ergänzen. Er teilt ihnen schriftlich den Zeitpunkt mit, von dem ab das Wahlausschreiben in den Betrieben bekannt zu machen ist.</w:t>
      </w:r>
    </w:p>
    <w:p>
      <w:r>
        <w:t xml:space="preserve">(3) Der Betriebswahlvorstand ergänzt das Wahlausschreiben um die folgenden Angaben:</w:t>
      </w:r>
    </w:p>
    <w:p>
      <w:pPr>
        <w:ind w:left="420"/>
      </w:pPr>
      <w:r>
        <w:t xml:space="preserve">1. wo und wie die Wahlberechtigten in die Wählerliste, das Gesetz und diese Verordnung Einsicht nehmen können;</w:t>
      </w:r>
    </w:p>
    <w:p>
      <w:pPr>
        <w:ind w:left="420"/>
      </w:pPr>
      <w:r>
        <w:t xml:space="preserve">2. Ort, Tag und Zeit der Stimmabgabe und der öffentlichen Stimmauszählung;</w:t>
      </w:r>
    </w:p>
    <w:p>
      <w:pPr>
        <w:ind w:left="420"/>
      </w:pPr>
      <w:r>
        <w:t xml:space="preserve">3. den Hinweis auf die Möglichkeit der schriftlichen Stimmabgabe sowie die Betriebsteile, Kleinstbetriebe und Betriebe, für die schriftliche Stimmabgabe nach § 16 Abs. 3 beschlossen ist;</w:t>
      </w:r>
    </w:p>
    <w:p>
      <w:pPr>
        <w:ind w:left="420"/>
      </w:pPr>
      <w:r>
        <w:t xml:space="preserve">4. wo und wie die Wahlberechtigten von den Wahlvorschlägen bis zum Abschluss der Stimmabgabe Kenntnis erlangen können;</w:t>
      </w:r>
    </w:p>
    <w:p>
      <w:pPr>
        <w:ind w:left="420"/>
      </w:pPr>
      <w:r>
        <w:t xml:space="preserve">5. die Namen der Mitglieder und die Betriebsanschrift des Betriebswahlvorstands.</w:t>
      </w:r>
    </w:p>
    <w:p>
      <w:r>
        <w:t xml:space="preserve">(4) Die Bekanntmachung des Wahlausschreibens erfolgt durch den Betriebswahlvorstand spätestens an dem vom zuständigen Wahlvorstand hierfür festgesetzten Tag bis zum Abschluss der Wahl der Aufsichtsratsmitglieder.</w:t>
      </w:r>
    </w:p>
    <w:p>
      <w:r>
        <w:rPr>
          <w:color w:val="555555"/>
          <w:sz w:val="17"/>
        </w:rPr>
        <w:t xml:space="preserve">Zitiervorschlag: § 28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