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WODrittelbG — Wahlvorstände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der Wahl und die Feststellung des Wahlergebnisses obliegen dem zuständigen Wahlvorstand. Zuständiger Wahlvorstand ist bei der Wahl</w:t>
      </w:r>
    </w:p>
    <w:p>
      <w:pPr>
        <w:ind w:left="420"/>
      </w:pPr>
      <w:r>
        <w:t xml:space="preserve">1. in mehreren Betrieben der Unternehmenswahlvorstand,</w:t>
      </w:r>
    </w:p>
    <w:p>
      <w:pPr>
        <w:ind w:left="420"/>
      </w:pPr>
      <w:r>
        <w:t xml:space="preserve">2. in mehreren Unternehmen der Hauptwahlvorstand.</w:t>
      </w:r>
    </w:p>
    <w:p>
      <w:r>
        <w:t xml:space="preserve">(2) In den einzelnen Betrieben wird die Wahl im Auftrag und nach den Richtlinien des nach Absatz 1 zuständigen Wahlvorstands durch Betriebswahlvorstände durchgeführt.</w:t>
      </w:r>
    </w:p>
    <w:p>
      <w:r>
        <w:t xml:space="preserve">(3) Die Wahlvorstände nach den Absätzen 1 und 2 werden unverzüglich nach der in § 24 bezeichneten Mitteilung gebildet.</w:t>
      </w:r>
    </w:p>
    <w:p>
      <w:r>
        <w:t xml:space="preserve">(4) Die Wahlvorstände nach den Absätzen 1 und 2 teilen unverzüglich nach ihrer Bildung dem Unternehmen schriftlich ihre Betriebsanschrift und die Namen ihrer Mitglieder mit.</w:t>
      </w:r>
    </w:p>
    <w:p>
      <w:r>
        <w:rPr>
          <w:color w:val="555555"/>
          <w:sz w:val="17"/>
        </w:rPr>
        <w:t xml:space="preserve">Zitiervorschlag: § 25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