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WODrittelbG — Aufbewahrung der Wahlakten, Bekanntmachung des Unternehmens</w:t>
      </w:r>
    </w:p>
    <w:p>
      <w:r>
        <w:rPr>
          <w:color w:val="555555"/>
          <w:sz w:val="18"/>
        </w:rPr>
        <w:t xml:space="preserve">Wahlordnung zum Drittelbeteiligungsgesetz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Betriebswahlvorstand übergibt die Wahlakten dem Unternehmen. Das Unternehmen bewahrt die Wahlakten mindestens für die Dauer von fünf Jahren auf.</w:t>
      </w:r>
    </w:p>
    <w:p>
      <w:r>
        <w:t xml:space="preserve">(2) Für die nach § 8 des Gesetzes erforderliche Bekanntmachung im Betrieb gilt § 3 Abs. 3 entsprechend.</w:t>
      </w:r>
    </w:p>
    <w:p>
      <w:r>
        <w:rPr>
          <w:color w:val="555555"/>
          <w:sz w:val="17"/>
        </w:rPr>
        <w:t xml:space="preserve">Zitiervorschlag: § 22 WODrittelbG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https://recht.nulegal.eu/gesetze/WODrittelbG/22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WODrittelbG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