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WODrittelbG — Öffentliche Stimmauszählung</w:t>
      </w:r>
    </w:p>
    <w:p>
      <w:r>
        <w:rPr>
          <w:color w:val="555555"/>
          <w:sz w:val="18"/>
        </w:rPr>
        <w:t xml:space="preserve">Wahlordnung zum 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Unverzüglich nach Abschluss der Stimmabgabe zählt der Betriebswahlvorstand öffentlich die Stimmen aus.</w:t>
      </w:r>
    </w:p>
    <w:p>
      <w:r>
        <w:t xml:space="preserve">(2) Nach Öffnung der Wahlurne entnimmt der Betriebswahlvorstand die Stimmzettel und zählt die auf jeden Bewerber entfallenden Stimmen zusammen.</w:t>
      </w:r>
    </w:p>
    <w:p>
      <w:r>
        <w:t xml:space="preserve">(3) Bei der Auszählung ist die Gültigkeit der Stimmzettel zu prüfen.</w:t>
      </w:r>
    </w:p>
    <w:p>
      <w:r>
        <w:t xml:space="preserve">(4) (weggefallen)</w:t>
      </w:r>
    </w:p>
    <w:p>
      <w:r>
        <w:rPr>
          <w:color w:val="555555"/>
          <w:sz w:val="17"/>
        </w:rPr>
        <w:t xml:space="preserve">Zitiervorschlag: § 18 WODrittelbG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https://recht.nulegal.eu/gesetze/WODrittelbG/18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