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WODrittelbG — Stimmabgabe, Stimmzettel</w:t>
      </w:r>
    </w:p>
    <w:p>
      <w:r>
        <w:rPr>
          <w:color w:val="555555"/>
          <w:sz w:val="18"/>
        </w:rPr>
        <w:t xml:space="preserve">Wahlordnung zum Drittelbeteiligungsgesetz</w:t>
      </w:r>
    </w:p>
    <w:p>
      <w:r>
        <w:rPr>
          <w:color w:val="555555"/>
          <w:sz w:val="18"/>
        </w:rPr>
        <w:t xml:space="preserve">Stand: 10.06.2019 (konsolidierte Textfassung, kein amtliches Inkrafttretensdatum)</w:t>
      </w:r>
    </w:p>
    <w:p>
      <w:r>
        <w:t xml:space="preserve">(1) Der Wähler kann seine Stimme nur für Bewerber eines als gültig anerkannten Wahlvorschlags abgeben. Die Stimmabgabe erfolgt durch Abgabe von Stimmzetteln.</w:t>
      </w:r>
    </w:p>
    <w:p>
      <w:r>
        <w:t xml:space="preserve">(2) Auf den Stimmzetteln sind die Bewerber in alphabetischer Reihenfolge unter Angabe von Familienname, Vorname und Art der Beschäftigung aufzuführen. Das für einen Bewerber vorgeschlagene Ersatzmitglied ist auf den Stimmzetteln neben dem Bewerber aufzuführen; Satz 1 ist entsprechend anzuwenden. Die Stimmzettel sollen die Angabe enthalten, wie viele Bewerber angekreuzt werden können. Die Stimmzettel für die Wahl der Arbeitnehmervertreter müssen sämtlich die gleiche Größe, Farbe, Beschaffenheit und Beschriftung haben. Der Wähler kennzeichnet die von ihm gewählten Bewerber durch Ankreuzen an der hierfür im Stimmzettel vorgesehenen Stelle; er darf nicht mehr Bewerber ankreuzen, als Arbeitnehmervertreter zu wählen sind.</w:t>
      </w:r>
    </w:p>
    <w:p>
      <w:r>
        <w:t xml:space="preserve">(3) Ungültig sind Stimmzettel,</w:t>
      </w:r>
    </w:p>
    <w:p>
      <w:pPr>
        <w:ind w:left="420"/>
      </w:pPr>
      <w:r>
        <w:t xml:space="preserve">1. in denen mehr Bewerber angekreuzt sind, als Aufsichtsratsmitglieder zu wählen sind,</w:t>
      </w:r>
    </w:p>
    <w:p>
      <w:pPr>
        <w:ind w:left="420"/>
      </w:pPr>
      <w:r>
        <w:t xml:space="preserve">2. aus denen sich ein eindeutiger Wille nicht ergibt,</w:t>
      </w:r>
    </w:p>
    <w:p>
      <w:pPr>
        <w:ind w:left="420"/>
      </w:pPr>
      <w:r>
        <w:t xml:space="preserve">3. die mit einem besonderen Merkmal versehen sind,</w:t>
      </w:r>
    </w:p>
    <w:p>
      <w:pPr>
        <w:ind w:left="420"/>
      </w:pPr>
      <w:r>
        <w:t xml:space="preserve">4. die andere als die in Absatz 2 bezeichneten Angaben, einen Zusatz oder sonstige Änderungen enthalten.</w:t>
      </w:r>
    </w:p>
    <w:p>
      <w:r>
        <w:rPr>
          <w:color w:val="555555"/>
          <w:sz w:val="17"/>
        </w:rPr>
        <w:t xml:space="preserve">Zitiervorschlag: § 13 WODrittelbG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https://recht.nulegal.eu/gesetze/WODrittelbG/13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