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12 WODrittelbG — Bekanntmachung der Wahlvorschläge</w:t>
      </w:r>
    </w:p>
    <w:p>
      <w:r>
        <w:rPr>
          <w:color w:val="555555"/>
          <w:sz w:val="18"/>
        </w:rPr>
        <w:t xml:space="preserve">Wahlordnung zum Drittelbeteiligungsgesetz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Spätestens eine Woche vor dem ersten Tag der Stimmabgabe macht der Betriebswahlvorstand die gültigen Wahlvorschläge in gleicher Weise bekannt wie das Wahlausschreiben (§ 5 Abs. 3).</w:t>
      </w:r>
    </w:p>
    <w:p>
      <w:r>
        <w:rPr>
          <w:color w:val="555555"/>
          <w:sz w:val="17"/>
        </w:rPr>
        <w:t xml:space="preserve">Zitiervorschlag: § 12 WODrittelbG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https://recht.nulegal.eu/gesetze/WODrittelbG/12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12 WODrittelbG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