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WODrittelbG — Nachfrist für Wahlvorschläge</w:t>
      </w:r>
    </w:p>
    <w:p>
      <w:r>
        <w:rPr>
          <w:color w:val="555555"/>
          <w:sz w:val="18"/>
        </w:rPr>
        <w:t xml:space="preserve">Wahlordnung zum Drittelbeteiligungsgesetz</w:t>
      </w:r>
    </w:p>
    <w:p>
      <w:r>
        <w:rPr>
          <w:color w:val="555555"/>
          <w:sz w:val="18"/>
        </w:rPr>
        <w:t xml:space="preserve">Stand: 10.06.2019 (konsolidierte Textfassung, kein amtliches Inkrafttretensdatum)</w:t>
      </w:r>
    </w:p>
    <w:p>
      <w:r>
        <w:t xml:space="preserve">(1) Ist nach Ablauf der in § 7 Abs. 1 genannten Frist kein gültiger Wahlvorschlag eingereicht, so hat dies der Betriebswahlvorstand sofort in der gleichen Weise bekannt zu machen wie das Wahlausschreiben (§ 5 Abs. 3) und eine Nachfrist von einer Woche für die Einreichung von Wahlvorschlägen zu setzen. In der Bekanntmachung ist darauf hinzuweisen, dass die Wahl nur stattfinden kann, wenn innerhalb der Nachfrist mindestens ein gültiger Wahlvorschlag eingereicht wird.</w:t>
      </w:r>
    </w:p>
    <w:p>
      <w:r>
        <w:t xml:space="preserve">(2) Wird bis zum Ablauf der Nachfrist kein gültiger Wahlvorschlag eingereicht, so macht der Betriebswahlvorstand unverzüglich bekannt, dass die Wahl nicht stattfindet.</w:t>
      </w:r>
    </w:p>
    <w:p>
      <w:r>
        <w:rPr>
          <w:color w:val="555555"/>
          <w:sz w:val="17"/>
        </w:rPr>
        <w:t xml:space="preserve">Zitiervorschlag: § 11 WODrittelbG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https://recht.nulegal.eu/gesetze/WODrittelbG/11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WODrittelbG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