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WO-SWG (Brandenburg) — Förmliche Voraussetzung für die Wahlberechtigung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Wählen kann nur die wahlberechtigte Person, die in das Wählerverzeichnis für die Wahl des Rates eingetragen ist.</w:t>
      </w:r>
    </w:p>
    <w:p>
      <w:r>
        <w:t xml:space="preserve">(2) Eine wahlberechtigte Person wird auf Antrag in das Wählerverzeichnis eingetragen.</w:t>
      </w:r>
    </w:p>
    <w:p>
      <w:r>
        <w:t xml:space="preserve">(3) Eine im Wählerverzeichnis eingetragene wahlberechtigte Person kann an der Wahl des Rates nur mit Wahlschein durch Briefwahl teilnehmen.</w:t>
      </w:r>
    </w:p>
    <w:p>
      <w:r>
        <w:rPr>
          <w:color w:val="555555"/>
          <w:sz w:val="17"/>
        </w:rPr>
        <w:t xml:space="preserve">Zitiervorschlag: § 9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