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WO-SWG (Brandenburg) — Sachliche Voraussetzung für die Wahlberechtigung</w:t>
      </w:r>
    </w:p>
    <w:p>
      <w:r>
        <w:rPr>
          <w:color w:val="555555"/>
          <w:sz w:val="18"/>
        </w:rPr>
        <w:t xml:space="preserve">Wahlordnung zum 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Wahlberechtigt sind alle Sorben/Wenden, die am letzten Tag der Briefwahl zur Wahl des Landtages Brandenburg wahlberechtigt sind.</w:t>
      </w:r>
    </w:p>
    <w:p>
      <w:r>
        <w:rPr>
          <w:color w:val="555555"/>
          <w:sz w:val="17"/>
        </w:rPr>
        <w:t xml:space="preserve">Zitiervorschlag: § 8 WO-SWG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https://recht.nulegal.eu/gesetze/WO-SWG/8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