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WO-SWG (Brandenburg) — Inkrafttreten</w:t>
      </w:r>
    </w:p>
    <w:p>
      <w:r>
        <w:rPr>
          <w:color w:val="555555"/>
          <w:sz w:val="18"/>
        </w:rPr>
        <w:t xml:space="preserve">Wahlordnung zum 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Potsdam, den 15. September 2014</w:t>
      </w:r>
    </w:p>
    <w:p>
      <w:r>
        <w:t xml:space="preserve">Der Minister des Innern</w:t>
      </w:r>
    </w:p>
    <w:p>
      <w:r>
        <w:t xml:space="preserve">Ralf Holzschuher</w:t>
      </w:r>
    </w:p>
    <w:p>
      <w:r>
        <w:t xml:space="preserve">Hinweis der Redaktion:</w:t>
      </w:r>
    </w:p>
    <w:p>
      <w:r>
        <w:t xml:space="preserve">Die beigefügte Anlage enthält die Übersetzung der Wahlordnung zum Sorben/Wenden-Gesetz in der Fassung vom 15. September 2014 in die niedersorbische Sprache. Es handelt sich dabei um eine nichtamtliche Textversion als Service der BRAVORS-Redaktion, nicht um den verkündeten Verordnungswortlaut.</w:t>
      </w:r>
    </w:p>
    <w:p>
      <w:r>
        <w:t xml:space="preserve">Nichtamtliche Textversion der Wahlordnung zum Sorben/Wenden-Gesetz</w:t>
      </w:r>
    </w:p>
    <w:p>
      <w:r>
        <w:rPr>
          <w:color w:val="555555"/>
          <w:sz w:val="17"/>
        </w:rPr>
        <w:t xml:space="preserve">Zitiervorschlag: § 51 WO-SWG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https://recht.nulegal.eu/gesetze/WO-SWG/51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