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WO-SWG (Brandenburg) — Fristen und Termine sowie Schriftform</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dieser Verordnung vorgesehenen Fristen und Termine verlängern und ändern sich nicht dadurch, dass der letzte Tag der Frist oder ein Termin auf einen Sonnabend, einen Sonntag oder einen gesetzlichen Feiertag fällt. Eine Wiedereinsetzung in den vorherigen Stand ist ausgeschlossen.</w:t>
      </w:r>
    </w:p>
    <w:p>
      <w:r>
        <w:t xml:space="preserve">(2) Soweit in dieser Verordnung nichts anderes bestimmt ist, müssen vorgeschriebene Erklärungen persönlich und handschriftlich unterzeichnet sein und bei der zuständigen Stelle im Original vorliegen; die elektronische Form ist ausgeschlossen.</w:t>
      </w:r>
    </w:p>
    <w:p>
      <w:r>
        <w:rPr>
          <w:color w:val="555555"/>
          <w:sz w:val="17"/>
        </w:rPr>
        <w:t xml:space="preserve">Zitiervorschlag: § 50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