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WO-SWG (Brandenburg) — Wahlorgane</w:t>
      </w:r>
    </w:p>
    <w:p>
      <w:r>
        <w:rPr>
          <w:color w:val="555555"/>
          <w:sz w:val="18"/>
        </w:rPr>
        <w:t xml:space="preserve">Wahlordnung zum Sorben/Wenden-Gesetz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Wahlorgane sind</w:t>
      </w:r>
    </w:p>
    <w:p>
      <w:r>
        <w:t xml:space="preserve">der Wahlausschuss und die Wahlleiterin oder der Wahlleiter sowie</w:t>
      </w:r>
    </w:p>
    <w:p>
      <w:r>
        <w:t xml:space="preserve">mindestens ein Briefwahlvorstand und eine Briefwahlvorsteherin oder ein Briefwahlvorsteher.</w:t>
      </w:r>
    </w:p>
    <w:p>
      <w:r>
        <w:t xml:space="preserve">(2) Die Wahlleiterin oder der Wahlleiter bestimmt die Anzahl der Briefwahlvorstände.</w:t>
      </w:r>
    </w:p>
    <w:p>
      <w:r>
        <w:t xml:space="preserve">(3) Bewerberinnen und Bewerber sowie Vertrauenspersonen und stellvertretende Vertrauenspersonen dürfen nicht zu Mitgliedern eines Wahlorgans bestellt werden.</w:t>
      </w:r>
    </w:p>
    <w:p>
      <w:r>
        <w:t xml:space="preserve">(4) Die Mitglieder des Wahlausschusses und der Briefwahlvorstände üben ihre Tätigkeit ehrenamtlich aus.</w:t>
      </w:r>
    </w:p>
    <w:p>
      <w:r>
        <w:t xml:space="preserve">(5) Die Mitglieder des Wahlausschusses erhalten für die Teilnahme an einer nach § 6 einberufenen Sitzung und die Mitglieder der Briefwahlvorstände für die Ermittlung des Wahlergebnisses ein Erfrischungsgeld nach den Bestimmungen des § 8 Absatz 2 der Brandenburgischen Landeswahlverordnung und, wenn sie außerhalb ihres Wohnortes tätig werden, Auslagenersatz für ihre Kosten entsprechend den Reisekostenregelungen.</w:t>
      </w:r>
    </w:p>
    <w:p>
      <w:r>
        <w:rPr>
          <w:color w:val="555555"/>
          <w:sz w:val="17"/>
        </w:rPr>
        <w:t xml:space="preserve">Zitiervorschlag: § 5 WO-SWG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https://recht.nulegal.eu/gesetze/WO-SWG/5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