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WO-SWG (Brandenburg) — Sicherung der Wahlunterlagen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Wahlunterlagen sind so zu verwahren, dass sie gegen Einsichtnahme durch unbefugte Personen geschützt sind. Dies gilt insbesondere für</w:t>
      </w:r>
    </w:p>
    <w:p>
      <w:r>
        <w:t xml:space="preserve">das Wählerverzeichnis und</w:t>
      </w:r>
    </w:p>
    <w:p>
      <w:r>
        <w:t xml:space="preserve">das Verzeichnis über die für ungültig erklärten Wahlscheine nach § 12 Absatz 8 Satz 2.</w:t>
      </w:r>
    </w:p>
    <w:p>
      <w:r>
        <w:t xml:space="preserve">(2) Auskünfte aus dem Wählerverzeichnis und dem Verzeichnis über die für ungültig erklärten Wahlscheine nach § 12 Absatz 8 Satz 2 dürfen nur Gerichten und der Strafverfolgungsbehörde zur Ermittlung einer Straftat im Zusammenhang mit der Wahl erteilt werden.</w:t>
      </w:r>
    </w:p>
    <w:p>
      <w:r>
        <w:rPr>
          <w:color w:val="555555"/>
          <w:sz w:val="17"/>
        </w:rPr>
        <w:t xml:space="preserve">Zitiervorschlag: § 47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