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WO-SWG (Brandenburg) — Stimmzettel und Vordrucke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Geschäftsstelle beschafft die Stimmzettel, die Umschläge und Merkblätter für die Briefwahl sowie die sonstigen für die Vorbereitung und Durchführung der unmittelbaren Wahl des Rates erforderlichen Vordrucke.</w:t>
      </w:r>
    </w:p>
    <w:p>
      <w:r>
        <w:t xml:space="preserve">(2) Die Wahlleiterin oder der Wahlleiter kann zum Inhalt und zur Form der Vordrucke nähere Regelungen treffen. Sie oder er bestimmt, welche Vordrucke auch in sorbischer/wendischer Sprache zu fassen sind.</w:t>
      </w:r>
    </w:p>
    <w:p>
      <w:r>
        <w:rPr>
          <w:color w:val="555555"/>
          <w:sz w:val="17"/>
        </w:rPr>
        <w:t xml:space="preserve">Zitiervorschlag: § 45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