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WO-SWG (Brandenburg) — Bekanntmachung des endgültigen Wahlergebnisses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Wahlleiterin oder der Wahlleiter macht das vom Wahlausschuss festgestellte endgültige Wahlergebnis mit den in § 37 Absatz 2 Satz 2 bezeichneten Angaben im Amtsblatt für Brandenburg bekannt.</w:t>
      </w:r>
    </w:p>
    <w:p>
      <w:r>
        <w:t xml:space="preserve">(2) Die Wahlleiterin oder der Wahlleiter übersendet der Präsidentin des Landtages oder dem Präsidenten des Landtages eine Ausfertigung der Bekanntmachung nach Absatz 1.</w:t>
      </w:r>
    </w:p>
    <w:p>
      <w:r>
        <w:rPr>
          <w:color w:val="555555"/>
          <w:sz w:val="17"/>
        </w:rPr>
        <w:t xml:space="preserve">Zitiervorschlag: § 38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